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E24D7" w14:textId="47D7E6A9" w:rsidR="000B20DB" w:rsidRDefault="00912F35" w:rsidP="00912F35">
      <w:pPr>
        <w:spacing w:line="360" w:lineRule="auto"/>
        <w:jc w:val="center"/>
        <w:rPr>
          <w:rFonts w:ascii="Times New Roman" w:hAnsi="Times New Roman" w:cs="Times New Roman"/>
          <w:u w:val="single"/>
        </w:rPr>
      </w:pPr>
      <w:r>
        <w:rPr>
          <w:rFonts w:ascii="Times New Roman" w:hAnsi="Times New Roman" w:cs="Times New Roman"/>
          <w:u w:val="single"/>
        </w:rPr>
        <w:t>Written Evidence Submitted by the Royal Historical Society</w:t>
      </w:r>
    </w:p>
    <w:p w14:paraId="38616ABA" w14:textId="77777777" w:rsidR="000B20DB" w:rsidRPr="000B20DB" w:rsidRDefault="000B20DB" w:rsidP="00295642">
      <w:pPr>
        <w:spacing w:line="360" w:lineRule="auto"/>
        <w:jc w:val="both"/>
        <w:rPr>
          <w:rFonts w:ascii="Times New Roman" w:hAnsi="Times New Roman" w:cs="Times New Roman"/>
          <w:u w:val="single"/>
        </w:rPr>
      </w:pPr>
    </w:p>
    <w:p w14:paraId="40B8C38D" w14:textId="77777777" w:rsidR="00912F35" w:rsidRDefault="00912F35" w:rsidP="00295642">
      <w:pPr>
        <w:spacing w:line="360" w:lineRule="auto"/>
        <w:jc w:val="both"/>
        <w:rPr>
          <w:rFonts w:ascii="Times New Roman" w:hAnsi="Times New Roman" w:cs="Times New Roman"/>
        </w:rPr>
      </w:pPr>
    </w:p>
    <w:p w14:paraId="516615A0" w14:textId="03F0459C" w:rsidR="00CB3A2B" w:rsidRDefault="00CB3A2B" w:rsidP="00295642">
      <w:pPr>
        <w:spacing w:line="360" w:lineRule="auto"/>
        <w:jc w:val="both"/>
        <w:rPr>
          <w:rFonts w:ascii="Times New Roman" w:hAnsi="Times New Roman" w:cs="Times New Roman"/>
        </w:rPr>
      </w:pPr>
      <w:r>
        <w:rPr>
          <w:rFonts w:ascii="Times New Roman" w:hAnsi="Times New Roman" w:cs="Times New Roman"/>
        </w:rPr>
        <w:t>Executive Summary</w:t>
      </w:r>
    </w:p>
    <w:p w14:paraId="1B73BDFD" w14:textId="08274455" w:rsidR="00CB3A2B" w:rsidRDefault="00CB3A2B" w:rsidP="00CB3A2B">
      <w:pPr>
        <w:pStyle w:val="ListParagraph"/>
        <w:numPr>
          <w:ilvl w:val="0"/>
          <w:numId w:val="7"/>
        </w:numPr>
        <w:spacing w:line="360" w:lineRule="auto"/>
        <w:jc w:val="both"/>
        <w:rPr>
          <w:rFonts w:ascii="Times New Roman" w:hAnsi="Times New Roman" w:cs="Times New Roman"/>
        </w:rPr>
      </w:pPr>
      <w:r>
        <w:rPr>
          <w:rFonts w:ascii="Times New Roman" w:hAnsi="Times New Roman" w:cs="Times New Roman"/>
        </w:rPr>
        <w:t xml:space="preserve">I.2 </w:t>
      </w:r>
      <w:r w:rsidRPr="00AE6FE7">
        <w:rPr>
          <w:rFonts w:ascii="Times New Roman" w:hAnsi="Times New Roman" w:cs="Times New Roman"/>
        </w:rPr>
        <w:t>We welcome the Committee’s inquiry into value for money in Higher Education, but regret that its</w:t>
      </w:r>
      <w:r>
        <w:rPr>
          <w:rFonts w:ascii="Times New Roman" w:hAnsi="Times New Roman" w:cs="Times New Roman"/>
        </w:rPr>
        <w:t xml:space="preserve"> scope is not broader.</w:t>
      </w:r>
    </w:p>
    <w:p w14:paraId="54587124" w14:textId="735A067D" w:rsidR="00CB3A2B" w:rsidRDefault="00AE4B8A" w:rsidP="00AE4B8A">
      <w:pPr>
        <w:pStyle w:val="ListParagraph"/>
        <w:numPr>
          <w:ilvl w:val="0"/>
          <w:numId w:val="7"/>
        </w:numPr>
        <w:spacing w:line="360" w:lineRule="auto"/>
        <w:jc w:val="both"/>
        <w:rPr>
          <w:rFonts w:ascii="Times New Roman" w:hAnsi="Times New Roman" w:cs="Times New Roman"/>
        </w:rPr>
      </w:pPr>
      <w:r>
        <w:rPr>
          <w:rFonts w:ascii="Times New Roman" w:hAnsi="Times New Roman" w:cs="Times New Roman"/>
        </w:rPr>
        <w:t>II.2</w:t>
      </w:r>
      <w:r w:rsidR="00CB3A2B">
        <w:rPr>
          <w:rFonts w:ascii="Times New Roman" w:hAnsi="Times New Roman" w:cs="Times New Roman"/>
        </w:rPr>
        <w:t xml:space="preserve"> We are sceptical that Destination Data will actually </w:t>
      </w:r>
      <w:r>
        <w:rPr>
          <w:rFonts w:ascii="Times New Roman" w:hAnsi="Times New Roman" w:cs="Times New Roman"/>
        </w:rPr>
        <w:t xml:space="preserve">provide much meaningful information to </w:t>
      </w:r>
      <w:r>
        <w:rPr>
          <w:rFonts w:ascii="Times New Roman" w:hAnsi="Times New Roman"/>
        </w:rPr>
        <w:t xml:space="preserve">assist </w:t>
      </w:r>
      <w:r w:rsidR="00CB3A2B">
        <w:rPr>
          <w:rFonts w:ascii="Times New Roman" w:hAnsi="Times New Roman"/>
        </w:rPr>
        <w:t>prospective students choose universities and subjects</w:t>
      </w:r>
      <w:r>
        <w:rPr>
          <w:rFonts w:ascii="Times New Roman" w:hAnsi="Times New Roman"/>
        </w:rPr>
        <w:t>.</w:t>
      </w:r>
      <w:r>
        <w:rPr>
          <w:rFonts w:ascii="Times New Roman" w:hAnsi="Times New Roman" w:cs="Times New Roman"/>
        </w:rPr>
        <w:t xml:space="preserve"> </w:t>
      </w:r>
    </w:p>
    <w:p w14:paraId="4FA62E6A" w14:textId="61486AAE" w:rsidR="00AE4B8A" w:rsidRDefault="00AE4B8A" w:rsidP="00AE4B8A">
      <w:pPr>
        <w:pStyle w:val="ListParagraph"/>
        <w:numPr>
          <w:ilvl w:val="0"/>
          <w:numId w:val="7"/>
        </w:numPr>
        <w:spacing w:line="360" w:lineRule="auto"/>
        <w:jc w:val="both"/>
        <w:rPr>
          <w:rFonts w:ascii="Times New Roman" w:hAnsi="Times New Roman" w:cs="Times New Roman"/>
        </w:rPr>
      </w:pPr>
      <w:r>
        <w:rPr>
          <w:rFonts w:ascii="Times New Roman" w:hAnsi="Times New Roman" w:cs="Times New Roman"/>
        </w:rPr>
        <w:t>III.1-2 I</w:t>
      </w:r>
      <w:r w:rsidRPr="00636B22">
        <w:rPr>
          <w:rFonts w:ascii="Times New Roman" w:hAnsi="Times New Roman" w:cs="Times New Roman"/>
        </w:rPr>
        <w:t xml:space="preserve">t is clear to us that </w:t>
      </w:r>
      <w:r>
        <w:rPr>
          <w:rFonts w:ascii="Times New Roman" w:hAnsi="Times New Roman" w:cs="Times New Roman"/>
        </w:rPr>
        <w:t>TEF</w:t>
      </w:r>
      <w:r w:rsidRPr="00636B22">
        <w:rPr>
          <w:rFonts w:ascii="Times New Roman" w:hAnsi="Times New Roman" w:cs="Times New Roman"/>
        </w:rPr>
        <w:t xml:space="preserve"> has both demonstrable strengths and limitations.</w:t>
      </w:r>
    </w:p>
    <w:p w14:paraId="32317040" w14:textId="228F6D1F" w:rsidR="00AE4B8A" w:rsidRDefault="00AE4B8A" w:rsidP="00AE4B8A">
      <w:pPr>
        <w:pStyle w:val="ListParagraph"/>
        <w:numPr>
          <w:ilvl w:val="0"/>
          <w:numId w:val="7"/>
        </w:numPr>
        <w:spacing w:line="360" w:lineRule="auto"/>
        <w:jc w:val="both"/>
        <w:rPr>
          <w:rFonts w:ascii="Times New Roman" w:hAnsi="Times New Roman" w:cs="Times New Roman"/>
        </w:rPr>
      </w:pPr>
      <w:r>
        <w:rPr>
          <w:rFonts w:ascii="Times New Roman" w:hAnsi="Times New Roman" w:cs="Times New Roman"/>
        </w:rPr>
        <w:t>III.</w:t>
      </w:r>
      <w:r w:rsidR="00621ECC">
        <w:rPr>
          <w:rFonts w:ascii="Times New Roman" w:hAnsi="Times New Roman" w:cs="Times New Roman"/>
        </w:rPr>
        <w:t>4-6</w:t>
      </w:r>
      <w:r>
        <w:rPr>
          <w:rFonts w:ascii="Times New Roman" w:hAnsi="Times New Roman" w:cs="Times New Roman"/>
        </w:rPr>
        <w:t xml:space="preserve"> </w:t>
      </w:r>
      <w:r w:rsidR="00621ECC" w:rsidRPr="00636B22">
        <w:rPr>
          <w:rFonts w:ascii="Times New Roman" w:hAnsi="Times New Roman" w:cs="Times New Roman"/>
        </w:rPr>
        <w:t xml:space="preserve">the planned emphasis on ‘teaching intensity’ </w:t>
      </w:r>
      <w:r w:rsidR="00621ECC">
        <w:rPr>
          <w:rFonts w:ascii="Times New Roman" w:hAnsi="Times New Roman" w:cs="Times New Roman"/>
        </w:rPr>
        <w:t xml:space="preserve">in TEF </w:t>
      </w:r>
      <w:r w:rsidR="00621ECC" w:rsidRPr="00636B22">
        <w:rPr>
          <w:rFonts w:ascii="Times New Roman" w:hAnsi="Times New Roman" w:cs="Times New Roman"/>
        </w:rPr>
        <w:t>misses a fundamental point by conflating teaching with learning.</w:t>
      </w:r>
    </w:p>
    <w:p w14:paraId="22E1AA98" w14:textId="77652C45" w:rsidR="00745A8F" w:rsidRDefault="00745A8F" w:rsidP="00AE4B8A">
      <w:pPr>
        <w:pStyle w:val="ListParagraph"/>
        <w:numPr>
          <w:ilvl w:val="0"/>
          <w:numId w:val="7"/>
        </w:numPr>
        <w:spacing w:line="360" w:lineRule="auto"/>
        <w:jc w:val="both"/>
        <w:rPr>
          <w:rFonts w:ascii="Times New Roman" w:hAnsi="Times New Roman" w:cs="Times New Roman"/>
        </w:rPr>
      </w:pPr>
      <w:r>
        <w:rPr>
          <w:rFonts w:ascii="Times New Roman" w:hAnsi="Times New Roman" w:cs="Times New Roman"/>
        </w:rPr>
        <w:t>V.1-4 we are fully committed to Social Justice in HE and we are advancing its agenda</w:t>
      </w:r>
      <w:r w:rsidR="00343637">
        <w:rPr>
          <w:rFonts w:ascii="Times New Roman" w:hAnsi="Times New Roman" w:cs="Times New Roman"/>
        </w:rPr>
        <w:t>.</w:t>
      </w:r>
    </w:p>
    <w:p w14:paraId="0B6CFA4A" w14:textId="619EF9C3" w:rsidR="00745A8F" w:rsidRDefault="00745A8F" w:rsidP="00AE4B8A">
      <w:pPr>
        <w:pStyle w:val="ListParagraph"/>
        <w:numPr>
          <w:ilvl w:val="0"/>
          <w:numId w:val="7"/>
        </w:numPr>
        <w:spacing w:line="360" w:lineRule="auto"/>
        <w:jc w:val="both"/>
        <w:rPr>
          <w:rFonts w:ascii="Times New Roman" w:hAnsi="Times New Roman" w:cs="Times New Roman"/>
        </w:rPr>
      </w:pPr>
      <w:r>
        <w:rPr>
          <w:rFonts w:ascii="Times New Roman" w:hAnsi="Times New Roman" w:cs="Times New Roman"/>
        </w:rPr>
        <w:t>VI.1 We hope the OfS will promote the interests of students within the broader context of the interest</w:t>
      </w:r>
      <w:r w:rsidR="0074670C">
        <w:rPr>
          <w:rFonts w:ascii="Times New Roman" w:hAnsi="Times New Roman" w:cs="Times New Roman"/>
        </w:rPr>
        <w:t>s</w:t>
      </w:r>
      <w:bookmarkStart w:id="0" w:name="_GoBack"/>
      <w:bookmarkEnd w:id="0"/>
      <w:r>
        <w:rPr>
          <w:rFonts w:ascii="Times New Roman" w:hAnsi="Times New Roman" w:cs="Times New Roman"/>
        </w:rPr>
        <w:t xml:space="preserve"> of HEIs</w:t>
      </w:r>
      <w:r w:rsidR="0074670C">
        <w:rPr>
          <w:rFonts w:ascii="Times New Roman" w:hAnsi="Times New Roman" w:cs="Times New Roman"/>
        </w:rPr>
        <w:t>.</w:t>
      </w:r>
    </w:p>
    <w:p w14:paraId="6AA98215" w14:textId="77777777" w:rsidR="00CB3A2B" w:rsidRDefault="00CB3A2B" w:rsidP="00295642">
      <w:pPr>
        <w:spacing w:line="360" w:lineRule="auto"/>
        <w:jc w:val="both"/>
        <w:rPr>
          <w:rFonts w:ascii="Times New Roman" w:hAnsi="Times New Roman" w:cs="Times New Roman"/>
        </w:rPr>
      </w:pPr>
    </w:p>
    <w:p w14:paraId="0B32D01E" w14:textId="5B5ACB71" w:rsidR="00912F35" w:rsidRPr="00971162" w:rsidRDefault="00912F35" w:rsidP="00295642">
      <w:pPr>
        <w:spacing w:line="360" w:lineRule="auto"/>
        <w:jc w:val="both"/>
        <w:rPr>
          <w:rFonts w:ascii="Times New Roman" w:hAnsi="Times New Roman" w:cs="Times New Roman"/>
          <w:u w:val="single"/>
        </w:rPr>
      </w:pPr>
      <w:r w:rsidRPr="00971162">
        <w:rPr>
          <w:rFonts w:ascii="Times New Roman" w:hAnsi="Times New Roman" w:cs="Times New Roman"/>
          <w:u w:val="single"/>
        </w:rPr>
        <w:t xml:space="preserve">I. </w:t>
      </w:r>
      <w:r w:rsidR="00CB3A2B">
        <w:rPr>
          <w:rFonts w:ascii="Times New Roman" w:hAnsi="Times New Roman" w:cs="Times New Roman"/>
          <w:u w:val="single"/>
        </w:rPr>
        <w:t>The Royal Historical Society : a brief i</w:t>
      </w:r>
      <w:r w:rsidRPr="00971162">
        <w:rPr>
          <w:rFonts w:ascii="Times New Roman" w:hAnsi="Times New Roman" w:cs="Times New Roman"/>
          <w:u w:val="single"/>
        </w:rPr>
        <w:t>ntroduction</w:t>
      </w:r>
    </w:p>
    <w:p w14:paraId="1609E82D" w14:textId="2CEB60E1" w:rsidR="002A6241" w:rsidRDefault="00912F35" w:rsidP="00295642">
      <w:pPr>
        <w:spacing w:line="360" w:lineRule="auto"/>
        <w:jc w:val="both"/>
        <w:rPr>
          <w:rFonts w:ascii="Times New Roman" w:hAnsi="Times New Roman" w:cs="Times New Roman"/>
        </w:rPr>
      </w:pPr>
      <w:r>
        <w:rPr>
          <w:rFonts w:ascii="Times New Roman" w:hAnsi="Times New Roman" w:cs="Times New Roman"/>
        </w:rPr>
        <w:t xml:space="preserve">1. </w:t>
      </w:r>
      <w:r w:rsidR="009C582D" w:rsidRPr="00DB40F6">
        <w:rPr>
          <w:rFonts w:ascii="Times New Roman" w:hAnsi="Times New Roman" w:cs="Times New Roman"/>
        </w:rPr>
        <w:t xml:space="preserve">The Royal Historical Society, founded </w:t>
      </w:r>
      <w:r w:rsidR="005D1FEA" w:rsidRPr="00DB40F6">
        <w:rPr>
          <w:rFonts w:ascii="Times New Roman" w:hAnsi="Times New Roman" w:cs="Times New Roman"/>
        </w:rPr>
        <w:t xml:space="preserve">in 1868, strives to promote excellence in </w:t>
      </w:r>
      <w:r w:rsidR="009C582D" w:rsidRPr="00DB40F6">
        <w:rPr>
          <w:rFonts w:ascii="Times New Roman" w:hAnsi="Times New Roman" w:cs="Times New Roman"/>
        </w:rPr>
        <w:t>the discipline</w:t>
      </w:r>
      <w:r w:rsidR="005D1FEA" w:rsidRPr="00DB40F6">
        <w:rPr>
          <w:rFonts w:ascii="Times New Roman" w:hAnsi="Times New Roman" w:cs="Times New Roman"/>
        </w:rPr>
        <w:t xml:space="preserve"> of History</w:t>
      </w:r>
      <w:r w:rsidR="009C582D" w:rsidRPr="00DB40F6">
        <w:rPr>
          <w:rFonts w:ascii="Times New Roman" w:hAnsi="Times New Roman" w:cs="Times New Roman"/>
        </w:rPr>
        <w:t xml:space="preserve">.  It has over 4000 members drawn from </w:t>
      </w:r>
      <w:r w:rsidR="0001204A" w:rsidRPr="00DB40F6">
        <w:rPr>
          <w:rFonts w:ascii="Times New Roman" w:hAnsi="Times New Roman" w:cs="Times New Roman"/>
        </w:rPr>
        <w:t>higher education institutions (</w:t>
      </w:r>
      <w:r w:rsidR="009C582D" w:rsidRPr="00DB40F6">
        <w:rPr>
          <w:rFonts w:ascii="Times New Roman" w:hAnsi="Times New Roman" w:cs="Times New Roman"/>
        </w:rPr>
        <w:t>HEIs</w:t>
      </w:r>
      <w:r w:rsidR="0001204A" w:rsidRPr="00DB40F6">
        <w:rPr>
          <w:rFonts w:ascii="Times New Roman" w:hAnsi="Times New Roman" w:cs="Times New Roman"/>
        </w:rPr>
        <w:t>)</w:t>
      </w:r>
      <w:r w:rsidR="009C582D" w:rsidRPr="00DB40F6">
        <w:rPr>
          <w:rFonts w:ascii="Times New Roman" w:hAnsi="Times New Roman" w:cs="Times New Roman"/>
        </w:rPr>
        <w:t xml:space="preserve">, </w:t>
      </w:r>
      <w:r w:rsidR="006002AD" w:rsidRPr="00DB40F6">
        <w:rPr>
          <w:rFonts w:ascii="Times New Roman" w:hAnsi="Times New Roman" w:cs="Times New Roman"/>
        </w:rPr>
        <w:t>second</w:t>
      </w:r>
      <w:r w:rsidR="006002AD">
        <w:rPr>
          <w:rFonts w:ascii="Times New Roman" w:hAnsi="Times New Roman" w:cs="Times New Roman"/>
        </w:rPr>
        <w:t xml:space="preserve">ary education, and </w:t>
      </w:r>
      <w:r w:rsidR="009C582D" w:rsidRPr="00AE6FE7">
        <w:rPr>
          <w:rFonts w:ascii="Times New Roman" w:hAnsi="Times New Roman" w:cs="Times New Roman"/>
        </w:rPr>
        <w:t>the heritage sector</w:t>
      </w:r>
      <w:r w:rsidR="005D1FEA" w:rsidRPr="00AE6FE7">
        <w:rPr>
          <w:rFonts w:ascii="Times New Roman" w:hAnsi="Times New Roman" w:cs="Times New Roman"/>
        </w:rPr>
        <w:t xml:space="preserve">, </w:t>
      </w:r>
      <w:r w:rsidR="006002AD" w:rsidRPr="0001204A">
        <w:rPr>
          <w:rFonts w:ascii="Times New Roman" w:hAnsi="Times New Roman" w:cs="Times New Roman"/>
        </w:rPr>
        <w:t xml:space="preserve">archives, museums, </w:t>
      </w:r>
      <w:r w:rsidR="00745A8F">
        <w:rPr>
          <w:rFonts w:ascii="Times New Roman" w:hAnsi="Times New Roman" w:cs="Times New Roman"/>
        </w:rPr>
        <w:t>and libraries</w:t>
      </w:r>
      <w:r w:rsidR="008C5625" w:rsidRPr="0001204A">
        <w:rPr>
          <w:rFonts w:ascii="Times New Roman" w:hAnsi="Times New Roman" w:cs="Times New Roman"/>
        </w:rPr>
        <w:t>,</w:t>
      </w:r>
      <w:r w:rsidR="008C5625" w:rsidRPr="00AE6FE7">
        <w:rPr>
          <w:rFonts w:ascii="Times New Roman" w:hAnsi="Times New Roman" w:cs="Times New Roman"/>
        </w:rPr>
        <w:t xml:space="preserve"> mostly in the UK but also across the globe.</w:t>
      </w:r>
      <w:r w:rsidR="00C45A1E" w:rsidRPr="00AE6FE7">
        <w:rPr>
          <w:rFonts w:ascii="Times New Roman" w:hAnsi="Times New Roman" w:cs="Times New Roman"/>
        </w:rPr>
        <w:t xml:space="preserve">  It sponsors </w:t>
      </w:r>
      <w:r w:rsidR="005D1FEA" w:rsidRPr="00AE6FE7">
        <w:rPr>
          <w:rFonts w:ascii="Times New Roman" w:hAnsi="Times New Roman" w:cs="Times New Roman"/>
        </w:rPr>
        <w:t xml:space="preserve">historical </w:t>
      </w:r>
      <w:r w:rsidR="00C45A1E" w:rsidRPr="00AE6FE7">
        <w:rPr>
          <w:rFonts w:ascii="Times New Roman" w:hAnsi="Times New Roman" w:cs="Times New Roman"/>
        </w:rPr>
        <w:t>publ</w:t>
      </w:r>
      <w:r w:rsidR="005D1FEA" w:rsidRPr="00AE6FE7">
        <w:rPr>
          <w:rFonts w:ascii="Times New Roman" w:hAnsi="Times New Roman" w:cs="Times New Roman"/>
        </w:rPr>
        <w:t>ications</w:t>
      </w:r>
      <w:r w:rsidR="00C45A1E" w:rsidRPr="00AE6FE7">
        <w:rPr>
          <w:rFonts w:ascii="Times New Roman" w:hAnsi="Times New Roman" w:cs="Times New Roman"/>
        </w:rPr>
        <w:t xml:space="preserve">, </w:t>
      </w:r>
      <w:r w:rsidR="0092499D" w:rsidRPr="00AE6FE7">
        <w:rPr>
          <w:rFonts w:ascii="Times New Roman" w:hAnsi="Times New Roman" w:cs="Times New Roman"/>
        </w:rPr>
        <w:t xml:space="preserve">provides financial support for </w:t>
      </w:r>
      <w:r w:rsidR="00C45A1E" w:rsidRPr="00AE6FE7">
        <w:rPr>
          <w:rFonts w:ascii="Times New Roman" w:hAnsi="Times New Roman" w:cs="Times New Roman"/>
        </w:rPr>
        <w:t>postgra</w:t>
      </w:r>
      <w:r w:rsidR="005D1FEA" w:rsidRPr="00AE6FE7">
        <w:rPr>
          <w:rFonts w:ascii="Times New Roman" w:hAnsi="Times New Roman" w:cs="Times New Roman"/>
        </w:rPr>
        <w:t>duates and early career researcher</w:t>
      </w:r>
      <w:r w:rsidR="00C45A1E" w:rsidRPr="00AE6FE7">
        <w:rPr>
          <w:rFonts w:ascii="Times New Roman" w:hAnsi="Times New Roman" w:cs="Times New Roman"/>
        </w:rPr>
        <w:t xml:space="preserve">s, and awards prizes for outstanding books, essays, student dissertations, public history </w:t>
      </w:r>
      <w:r w:rsidR="00450CF2" w:rsidRPr="00AE6FE7">
        <w:rPr>
          <w:rFonts w:ascii="Times New Roman" w:hAnsi="Times New Roman" w:cs="Times New Roman"/>
        </w:rPr>
        <w:t xml:space="preserve">writing </w:t>
      </w:r>
      <w:r w:rsidR="00C45A1E" w:rsidRPr="00AE6FE7">
        <w:rPr>
          <w:rFonts w:ascii="Times New Roman" w:hAnsi="Times New Roman" w:cs="Times New Roman"/>
        </w:rPr>
        <w:t xml:space="preserve">and inspirational teaching.  The Society also engages in public policy debates and developments, with </w:t>
      </w:r>
      <w:r w:rsidR="00B46568" w:rsidRPr="00AE6FE7">
        <w:rPr>
          <w:rFonts w:ascii="Times New Roman" w:hAnsi="Times New Roman" w:cs="Times New Roman"/>
        </w:rPr>
        <w:t xml:space="preserve">standing </w:t>
      </w:r>
      <w:r w:rsidR="00C45A1E" w:rsidRPr="00AE6FE7">
        <w:rPr>
          <w:rFonts w:ascii="Times New Roman" w:hAnsi="Times New Roman" w:cs="Times New Roman"/>
        </w:rPr>
        <w:t xml:space="preserve">Committees for </w:t>
      </w:r>
      <w:r w:rsidR="005D1FEA" w:rsidRPr="00AE6FE7">
        <w:rPr>
          <w:rFonts w:ascii="Times New Roman" w:hAnsi="Times New Roman" w:cs="Times New Roman"/>
        </w:rPr>
        <w:t xml:space="preserve">both </w:t>
      </w:r>
      <w:r w:rsidR="00C45A1E" w:rsidRPr="00AE6FE7">
        <w:rPr>
          <w:rFonts w:ascii="Times New Roman" w:hAnsi="Times New Roman" w:cs="Times New Roman"/>
        </w:rPr>
        <w:t xml:space="preserve">Research </w:t>
      </w:r>
      <w:r w:rsidR="005D1FEA" w:rsidRPr="00AE6FE7">
        <w:rPr>
          <w:rFonts w:ascii="Times New Roman" w:hAnsi="Times New Roman" w:cs="Times New Roman"/>
        </w:rPr>
        <w:t>Policy and</w:t>
      </w:r>
      <w:r w:rsidR="00450CF2" w:rsidRPr="00AE6FE7">
        <w:rPr>
          <w:rFonts w:ascii="Times New Roman" w:hAnsi="Times New Roman" w:cs="Times New Roman"/>
        </w:rPr>
        <w:t xml:space="preserve"> </w:t>
      </w:r>
      <w:r w:rsidR="00C45A1E" w:rsidRPr="00AE6FE7">
        <w:rPr>
          <w:rFonts w:ascii="Times New Roman" w:hAnsi="Times New Roman" w:cs="Times New Roman"/>
        </w:rPr>
        <w:t>Educational Policy.  The latter works closely with History (HE) UK and the Historical Association</w:t>
      </w:r>
      <w:r w:rsidR="00C45A1E" w:rsidRPr="00DB40F6">
        <w:rPr>
          <w:rFonts w:ascii="Times New Roman" w:hAnsi="Times New Roman" w:cs="Times New Roman"/>
        </w:rPr>
        <w:t>,</w:t>
      </w:r>
      <w:r w:rsidR="0001204A" w:rsidRPr="00DB40F6">
        <w:rPr>
          <w:rFonts w:ascii="Times New Roman" w:hAnsi="Times New Roman" w:cs="Times New Roman"/>
        </w:rPr>
        <w:t xml:space="preserve"> </w:t>
      </w:r>
      <w:r w:rsidR="00C45A1E" w:rsidRPr="00DB40F6">
        <w:rPr>
          <w:rFonts w:ascii="Times New Roman" w:hAnsi="Times New Roman" w:cs="Times New Roman"/>
        </w:rPr>
        <w:t>with a</w:t>
      </w:r>
      <w:r w:rsidR="00C45A1E" w:rsidRPr="00AE6FE7">
        <w:rPr>
          <w:rFonts w:ascii="Times New Roman" w:hAnsi="Times New Roman" w:cs="Times New Roman"/>
        </w:rPr>
        <w:t xml:space="preserve"> particular interest in ‘A’</w:t>
      </w:r>
      <w:r w:rsidR="005D1FEA" w:rsidRPr="00AE6FE7">
        <w:rPr>
          <w:rFonts w:ascii="Times New Roman" w:hAnsi="Times New Roman" w:cs="Times New Roman"/>
        </w:rPr>
        <w:t xml:space="preserve"> Level history and the transi</w:t>
      </w:r>
      <w:r w:rsidR="002A6241" w:rsidRPr="00AE6FE7">
        <w:rPr>
          <w:rFonts w:ascii="Times New Roman" w:hAnsi="Times New Roman" w:cs="Times New Roman"/>
        </w:rPr>
        <w:t>t</w:t>
      </w:r>
      <w:r w:rsidR="00C45A1E" w:rsidRPr="00AE6FE7">
        <w:rPr>
          <w:rFonts w:ascii="Times New Roman" w:hAnsi="Times New Roman" w:cs="Times New Roman"/>
        </w:rPr>
        <w:t xml:space="preserve">ion to university as well as curriculum </w:t>
      </w:r>
      <w:r w:rsidR="002A6241" w:rsidRPr="00AE6FE7">
        <w:rPr>
          <w:rFonts w:ascii="Times New Roman" w:hAnsi="Times New Roman" w:cs="Times New Roman"/>
        </w:rPr>
        <w:t xml:space="preserve">design </w:t>
      </w:r>
      <w:r w:rsidR="00C45A1E" w:rsidRPr="00AE6FE7">
        <w:rPr>
          <w:rFonts w:ascii="Times New Roman" w:hAnsi="Times New Roman" w:cs="Times New Roman"/>
        </w:rPr>
        <w:t>and learning for undergraduates</w:t>
      </w:r>
      <w:r w:rsidR="0092499D" w:rsidRPr="00AE6FE7">
        <w:rPr>
          <w:rFonts w:ascii="Times New Roman" w:hAnsi="Times New Roman" w:cs="Times New Roman"/>
        </w:rPr>
        <w:t xml:space="preserve"> </w:t>
      </w:r>
      <w:r w:rsidR="007016BE" w:rsidRPr="00AE6FE7">
        <w:rPr>
          <w:rFonts w:ascii="Times New Roman" w:hAnsi="Times New Roman" w:cs="Times New Roman"/>
        </w:rPr>
        <w:t>and postgraduates.  In short, advancing teaching and learning is</w:t>
      </w:r>
      <w:r w:rsidR="005D1FEA" w:rsidRPr="00AE6FE7">
        <w:rPr>
          <w:rFonts w:ascii="Times New Roman" w:hAnsi="Times New Roman" w:cs="Times New Roman"/>
        </w:rPr>
        <w:t xml:space="preserve"> a high priority for the </w:t>
      </w:r>
      <w:r w:rsidR="00745A8F">
        <w:rPr>
          <w:rFonts w:ascii="Times New Roman" w:hAnsi="Times New Roman" w:cs="Times New Roman"/>
        </w:rPr>
        <w:t>Society</w:t>
      </w:r>
      <w:r w:rsidR="007016BE" w:rsidRPr="00AE6FE7">
        <w:rPr>
          <w:rFonts w:ascii="Times New Roman" w:hAnsi="Times New Roman" w:cs="Times New Roman"/>
        </w:rPr>
        <w:t>.</w:t>
      </w:r>
    </w:p>
    <w:p w14:paraId="4A4B0379" w14:textId="0C4BB387" w:rsidR="004012FA" w:rsidRDefault="00912F35" w:rsidP="00912F35">
      <w:pPr>
        <w:spacing w:line="360" w:lineRule="auto"/>
        <w:jc w:val="both"/>
        <w:rPr>
          <w:rFonts w:ascii="Times New Roman" w:hAnsi="Times New Roman" w:cs="Times New Roman"/>
        </w:rPr>
      </w:pPr>
      <w:r>
        <w:rPr>
          <w:rFonts w:ascii="Times New Roman" w:hAnsi="Times New Roman" w:cs="Times New Roman"/>
        </w:rPr>
        <w:lastRenderedPageBreak/>
        <w:t xml:space="preserve">2. </w:t>
      </w:r>
      <w:r w:rsidR="002A6241" w:rsidRPr="00AE6FE7">
        <w:rPr>
          <w:rFonts w:ascii="Times New Roman" w:hAnsi="Times New Roman" w:cs="Times New Roman"/>
        </w:rPr>
        <w:t>We welcome the Committee’s inquiry into value for mon</w:t>
      </w:r>
      <w:r w:rsidR="005D1FEA" w:rsidRPr="00AE6FE7">
        <w:rPr>
          <w:rFonts w:ascii="Times New Roman" w:hAnsi="Times New Roman" w:cs="Times New Roman"/>
        </w:rPr>
        <w:t>ey in Higher Education, but regret that its</w:t>
      </w:r>
      <w:r w:rsidR="002A6241" w:rsidRPr="00AE6FE7">
        <w:rPr>
          <w:rFonts w:ascii="Times New Roman" w:hAnsi="Times New Roman" w:cs="Times New Roman"/>
        </w:rPr>
        <w:t xml:space="preserve"> scope is not broader. </w:t>
      </w:r>
      <w:r w:rsidR="005D1FEA" w:rsidRPr="00AE6FE7">
        <w:rPr>
          <w:rFonts w:ascii="Times New Roman" w:hAnsi="Times New Roman" w:cs="Times New Roman"/>
        </w:rPr>
        <w:t xml:space="preserve">In its current form, the inquiry fails to capture the full range of contributions to economy and society made by UK universities, and by History as a university-based discipline. </w:t>
      </w:r>
      <w:r w:rsidR="002A6241" w:rsidRPr="00AE6FE7">
        <w:rPr>
          <w:rFonts w:ascii="Times New Roman" w:hAnsi="Times New Roman" w:cs="Times New Roman"/>
        </w:rPr>
        <w:t xml:space="preserve">Research intensive universities play a major role in the national economy, and all universities have a </w:t>
      </w:r>
      <w:r w:rsidR="005D1FEA" w:rsidRPr="00AE6FE7">
        <w:rPr>
          <w:rFonts w:ascii="Times New Roman" w:hAnsi="Times New Roman" w:cs="Times New Roman"/>
        </w:rPr>
        <w:t xml:space="preserve">demonstrated </w:t>
      </w:r>
      <w:r w:rsidR="002A6241" w:rsidRPr="00AE6FE7">
        <w:rPr>
          <w:rFonts w:ascii="Times New Roman" w:hAnsi="Times New Roman" w:cs="Times New Roman"/>
        </w:rPr>
        <w:t xml:space="preserve">beneficial impact locally as employers, hubs for enterprise and collaborators with external partners such as </w:t>
      </w:r>
      <w:r w:rsidR="005D1FEA" w:rsidRPr="00AE6FE7">
        <w:rPr>
          <w:rFonts w:ascii="Times New Roman" w:hAnsi="Times New Roman" w:cs="Times New Roman"/>
        </w:rPr>
        <w:t xml:space="preserve">museums and partnership schools. </w:t>
      </w:r>
      <w:r w:rsidR="00031DF9" w:rsidRPr="00AE6FE7">
        <w:rPr>
          <w:rFonts w:ascii="Times New Roman" w:hAnsi="Times New Roman" w:cs="Times New Roman"/>
        </w:rPr>
        <w:t>This is all the more so now that impact and public engagement by HEIs has become prioritised by the REF</w:t>
      </w:r>
      <w:r w:rsidR="00745A8F">
        <w:rPr>
          <w:rFonts w:ascii="Times New Roman" w:hAnsi="Times New Roman" w:cs="Times New Roman"/>
        </w:rPr>
        <w:t xml:space="preserve"> (Research Excellence Framework)</w:t>
      </w:r>
      <w:r w:rsidR="00031DF9" w:rsidRPr="00AE6FE7">
        <w:rPr>
          <w:rFonts w:ascii="Times New Roman" w:hAnsi="Times New Roman" w:cs="Times New Roman"/>
        </w:rPr>
        <w:t>.</w:t>
      </w:r>
      <w:r w:rsidR="00031DF9" w:rsidRPr="00BC3466">
        <w:rPr>
          <w:rFonts w:ascii="Times New Roman" w:hAnsi="Times New Roman" w:cs="Times New Roman"/>
        </w:rPr>
        <w:t xml:space="preserve">  </w:t>
      </w:r>
      <w:r w:rsidR="00FA6D94" w:rsidRPr="0001204A">
        <w:rPr>
          <w:rFonts w:ascii="Times New Roman" w:hAnsi="Times New Roman" w:cs="Times New Roman"/>
        </w:rPr>
        <w:t xml:space="preserve">In 2011-12 the </w:t>
      </w:r>
      <w:r w:rsidR="00745A8F">
        <w:rPr>
          <w:rFonts w:ascii="Times New Roman" w:hAnsi="Times New Roman" w:cs="Times New Roman"/>
        </w:rPr>
        <w:t>HE</w:t>
      </w:r>
      <w:r w:rsidR="00FA6D94" w:rsidRPr="0001204A">
        <w:rPr>
          <w:rFonts w:ascii="Times New Roman" w:hAnsi="Times New Roman" w:cs="Times New Roman"/>
        </w:rPr>
        <w:t xml:space="preserve"> se</w:t>
      </w:r>
      <w:r w:rsidR="00031DF9" w:rsidRPr="0001204A">
        <w:rPr>
          <w:rFonts w:ascii="Times New Roman" w:hAnsi="Times New Roman" w:cs="Times New Roman"/>
        </w:rPr>
        <w:t>ct</w:t>
      </w:r>
      <w:r w:rsidR="00FA6D94" w:rsidRPr="0001204A">
        <w:rPr>
          <w:rFonts w:ascii="Times New Roman" w:hAnsi="Times New Roman" w:cs="Times New Roman"/>
        </w:rPr>
        <w:t xml:space="preserve">or generated over £73 billion of output, and contributed 2.8% of UK GPD, up from 2.3% in 2007 </w:t>
      </w:r>
      <w:r w:rsidR="00FA6D94" w:rsidRPr="00CB3A2B">
        <w:rPr>
          <w:rFonts w:ascii="Times New Roman" w:hAnsi="Times New Roman" w:cs="Times New Roman"/>
        </w:rPr>
        <w:t>(</w:t>
      </w:r>
      <w:hyperlink r:id="rId9" w:history="1">
        <w:r w:rsidR="00AE6FE7" w:rsidRPr="00CB3A2B">
          <w:rPr>
            <w:rStyle w:val="Hyperlink"/>
            <w:rFonts w:ascii="Times New Roman" w:hAnsi="Times New Roman" w:cs="Times New Roman"/>
            <w:color w:val="auto"/>
            <w:lang w:val="en-GB"/>
          </w:rPr>
          <w:t>http://www.universitiesuk.ac.uk/policy-and-an</w:t>
        </w:r>
        <w:r w:rsidR="00CB3A2B" w:rsidRPr="00CB3A2B">
          <w:rPr>
            <w:rStyle w:val="Hyperlink"/>
            <w:rFonts w:ascii="Times New Roman" w:hAnsi="Times New Roman" w:cs="Times New Roman"/>
            <w:color w:val="auto"/>
            <w:lang w:val="en-GB"/>
          </w:rPr>
          <w:t>alysis/reports/Documents/</w:t>
        </w:r>
        <w:r w:rsidR="00456C0F" w:rsidRPr="00CB3A2B">
          <w:rPr>
            <w:rStyle w:val="Hyperlink"/>
            <w:rFonts w:ascii="Times New Roman" w:hAnsi="Times New Roman" w:cs="Times New Roman"/>
            <w:color w:val="auto"/>
            <w:lang w:val="en-GB"/>
          </w:rPr>
          <w:t>2017/</w:t>
        </w:r>
        <w:r w:rsidR="00AE6FE7" w:rsidRPr="00CB3A2B">
          <w:rPr>
            <w:rStyle w:val="Hyperlink"/>
            <w:rFonts w:ascii="Times New Roman" w:hAnsi="Times New Roman" w:cs="Times New Roman"/>
            <w:color w:val="auto"/>
            <w:lang w:val="en-GB"/>
          </w:rPr>
          <w:t>the-economic-impact-of-universities.pdf</w:t>
        </w:r>
      </w:hyperlink>
      <w:r w:rsidR="00FA6D94" w:rsidRPr="00CB3A2B">
        <w:rPr>
          <w:rStyle w:val="Hyperlink"/>
          <w:rFonts w:ascii="Times New Roman" w:hAnsi="Times New Roman" w:cs="Times New Roman"/>
          <w:color w:val="auto"/>
          <w:u w:val="none"/>
          <w:lang w:val="en-GB"/>
        </w:rPr>
        <w:t>)</w:t>
      </w:r>
      <w:r w:rsidR="00031DF9" w:rsidRPr="00CB3A2B">
        <w:rPr>
          <w:rStyle w:val="Hyperlink"/>
          <w:rFonts w:ascii="Times New Roman" w:hAnsi="Times New Roman" w:cs="Times New Roman"/>
          <w:color w:val="auto"/>
          <w:u w:val="none"/>
          <w:lang w:val="en-GB"/>
        </w:rPr>
        <w:t>.</w:t>
      </w:r>
      <w:r w:rsidR="00AE6FE7" w:rsidRPr="00CB3A2B">
        <w:rPr>
          <w:rFonts w:ascii="Times New Roman" w:hAnsi="Times New Roman" w:cs="Times New Roman"/>
        </w:rPr>
        <w:t xml:space="preserve"> </w:t>
      </w:r>
      <w:r w:rsidR="00AE6FE7">
        <w:rPr>
          <w:rFonts w:ascii="Times New Roman" w:hAnsi="Times New Roman" w:cs="Times New Roman"/>
          <w:color w:val="FF0000"/>
        </w:rPr>
        <w:t xml:space="preserve"> </w:t>
      </w:r>
      <w:r w:rsidR="00AE3D31" w:rsidRPr="00BC3466">
        <w:rPr>
          <w:rFonts w:ascii="Times New Roman" w:hAnsi="Times New Roman" w:cs="Times New Roman"/>
        </w:rPr>
        <w:t xml:space="preserve">Many universities </w:t>
      </w:r>
      <w:r w:rsidR="00AE3D31" w:rsidRPr="00AE6FE7">
        <w:rPr>
          <w:rFonts w:ascii="Times New Roman" w:hAnsi="Times New Roman" w:cs="Times New Roman"/>
        </w:rPr>
        <w:t>att</w:t>
      </w:r>
      <w:r w:rsidR="006F5A49" w:rsidRPr="00AE6FE7">
        <w:rPr>
          <w:rFonts w:ascii="Times New Roman" w:hAnsi="Times New Roman" w:cs="Times New Roman"/>
        </w:rPr>
        <w:t>r</w:t>
      </w:r>
      <w:r w:rsidR="00AE3D31" w:rsidRPr="00AE6FE7">
        <w:rPr>
          <w:rFonts w:ascii="Times New Roman" w:hAnsi="Times New Roman" w:cs="Times New Roman"/>
        </w:rPr>
        <w:t xml:space="preserve">act </w:t>
      </w:r>
      <w:r w:rsidR="00AE3D31" w:rsidRPr="00BC3466">
        <w:rPr>
          <w:rFonts w:ascii="Times New Roman" w:hAnsi="Times New Roman" w:cs="Times New Roman"/>
        </w:rPr>
        <w:t>large numbers of foreign students</w:t>
      </w:r>
      <w:r w:rsidR="00745A8F">
        <w:rPr>
          <w:rFonts w:ascii="Times New Roman" w:hAnsi="Times New Roman" w:cs="Times New Roman"/>
        </w:rPr>
        <w:t xml:space="preserve"> which, among much else, create</w:t>
      </w:r>
      <w:r w:rsidR="00AE3D31" w:rsidRPr="00BC3466">
        <w:rPr>
          <w:rFonts w:ascii="Times New Roman" w:hAnsi="Times New Roman" w:cs="Times New Roman"/>
        </w:rPr>
        <w:t xml:space="preserve"> networks with implications for future global conn</w:t>
      </w:r>
      <w:r w:rsidR="007016BE" w:rsidRPr="00BC3466">
        <w:rPr>
          <w:rFonts w:ascii="Times New Roman" w:hAnsi="Times New Roman" w:cs="Times New Roman"/>
        </w:rPr>
        <w:t>ections, whether commercial, cul</w:t>
      </w:r>
      <w:r w:rsidR="00AE3D31" w:rsidRPr="00BC3466">
        <w:rPr>
          <w:rFonts w:ascii="Times New Roman" w:hAnsi="Times New Roman" w:cs="Times New Roman"/>
        </w:rPr>
        <w:t>tural or political.</w:t>
      </w:r>
      <w:r w:rsidR="006F5A49">
        <w:rPr>
          <w:rFonts w:ascii="Times New Roman" w:hAnsi="Times New Roman" w:cs="Times New Roman"/>
        </w:rPr>
        <w:t xml:space="preserve">  </w:t>
      </w:r>
      <w:r w:rsidR="00B90E65" w:rsidRPr="0001204A">
        <w:rPr>
          <w:rFonts w:ascii="Times New Roman" w:hAnsi="Times New Roman" w:cs="Times New Roman"/>
        </w:rPr>
        <w:t xml:space="preserve">As for History graduates, a </w:t>
      </w:r>
      <w:r w:rsidR="00745A8F">
        <w:rPr>
          <w:rFonts w:ascii="Times New Roman" w:hAnsi="Times New Roman" w:cs="Times New Roman"/>
        </w:rPr>
        <w:t xml:space="preserve">recent </w:t>
      </w:r>
      <w:r w:rsidR="00B90E65" w:rsidRPr="0001204A">
        <w:rPr>
          <w:rFonts w:ascii="Times New Roman" w:hAnsi="Times New Roman" w:cs="Times New Roman"/>
        </w:rPr>
        <w:t>report demonstrated that a ‘truly remarkable number of history graduates have gone on to become the movers-and-sha</w:t>
      </w:r>
      <w:r w:rsidR="0001204A" w:rsidRPr="0001204A">
        <w:rPr>
          <w:rFonts w:ascii="Times New Roman" w:hAnsi="Times New Roman" w:cs="Times New Roman"/>
        </w:rPr>
        <w:t xml:space="preserve">kers of modern-day </w:t>
      </w:r>
      <w:r w:rsidR="0001204A" w:rsidRPr="00DB40F6">
        <w:rPr>
          <w:rFonts w:ascii="Times New Roman" w:hAnsi="Times New Roman" w:cs="Times New Roman"/>
        </w:rPr>
        <w:t>Britain’. It</w:t>
      </w:r>
      <w:r w:rsidR="00B90E65" w:rsidRPr="00DB40F6">
        <w:rPr>
          <w:rFonts w:ascii="Times New Roman" w:hAnsi="Times New Roman" w:cs="Times New Roman"/>
        </w:rPr>
        <w:t xml:space="preserve"> </w:t>
      </w:r>
      <w:r w:rsidR="000A782D" w:rsidRPr="00DB40F6">
        <w:rPr>
          <w:rFonts w:ascii="Times New Roman" w:hAnsi="Times New Roman" w:cs="Times New Roman"/>
        </w:rPr>
        <w:t xml:space="preserve">listed </w:t>
      </w:r>
      <w:r w:rsidR="00B90E65" w:rsidRPr="00DB40F6">
        <w:rPr>
          <w:rFonts w:ascii="Times New Roman" w:hAnsi="Times New Roman" w:cs="Times New Roman"/>
        </w:rPr>
        <w:t>‘</w:t>
      </w:r>
      <w:r w:rsidR="00B90E65" w:rsidRPr="0001204A">
        <w:rPr>
          <w:rFonts w:ascii="Times New Roman" w:hAnsi="Times New Roman" w:cs="Times New Roman"/>
        </w:rPr>
        <w:t>famous history graduates’, among them leaders in media, law, politics, civil service, trade unions and a signif</w:t>
      </w:r>
      <w:r w:rsidR="00AE6FE7" w:rsidRPr="0001204A">
        <w:rPr>
          <w:rFonts w:ascii="Times New Roman" w:hAnsi="Times New Roman" w:cs="Times New Roman"/>
        </w:rPr>
        <w:t>icant number of VCs (D</w:t>
      </w:r>
      <w:r w:rsidR="000A782D" w:rsidRPr="0001204A">
        <w:rPr>
          <w:rFonts w:ascii="Times New Roman" w:hAnsi="Times New Roman" w:cs="Times New Roman"/>
        </w:rPr>
        <w:t>.</w:t>
      </w:r>
      <w:r w:rsidR="00AE6FE7" w:rsidRPr="0001204A">
        <w:rPr>
          <w:rFonts w:ascii="Times New Roman" w:hAnsi="Times New Roman" w:cs="Times New Roman"/>
        </w:rPr>
        <w:t xml:space="preserve"> Nicholls, </w:t>
      </w:r>
      <w:r w:rsidR="00AE6FE7" w:rsidRPr="0001204A">
        <w:rPr>
          <w:rFonts w:ascii="Times New Roman" w:hAnsi="Times New Roman" w:cs="Times New Roman"/>
          <w:i/>
          <w:iCs/>
        </w:rPr>
        <w:t>The Employment of History Graduates</w:t>
      </w:r>
      <w:r w:rsidR="000A782D" w:rsidRPr="0001204A">
        <w:rPr>
          <w:rFonts w:ascii="Times New Roman" w:hAnsi="Times New Roman" w:cs="Times New Roman"/>
          <w:i/>
          <w:iCs/>
        </w:rPr>
        <w:t xml:space="preserve">, </w:t>
      </w:r>
      <w:r w:rsidR="00AE6FE7" w:rsidRPr="0001204A">
        <w:rPr>
          <w:rFonts w:ascii="Times New Roman" w:hAnsi="Times New Roman" w:cs="Times New Roman"/>
        </w:rPr>
        <w:t xml:space="preserve">2011).   </w:t>
      </w:r>
      <w:r w:rsidR="006F5A49" w:rsidRPr="00AE6FE7">
        <w:rPr>
          <w:rFonts w:ascii="Times New Roman" w:hAnsi="Times New Roman" w:cs="Times New Roman"/>
        </w:rPr>
        <w:t>Any comprehensive, robust assessment will necessarily include these factors in its</w:t>
      </w:r>
      <w:r w:rsidR="00D04BCC" w:rsidRPr="00AE6FE7">
        <w:rPr>
          <w:rFonts w:ascii="Times New Roman" w:hAnsi="Times New Roman" w:cs="Times New Roman"/>
        </w:rPr>
        <w:t xml:space="preserve"> calculation of value for money.</w:t>
      </w:r>
    </w:p>
    <w:p w14:paraId="6242D947" w14:textId="0BF6AC22" w:rsidR="003D3AEF" w:rsidRPr="00AE6FE7" w:rsidRDefault="00912F35" w:rsidP="00912F35">
      <w:pPr>
        <w:spacing w:line="360" w:lineRule="auto"/>
        <w:jc w:val="both"/>
        <w:rPr>
          <w:rFonts w:ascii="Times New Roman" w:hAnsi="Times New Roman" w:cs="Times New Roman"/>
        </w:rPr>
      </w:pPr>
      <w:r>
        <w:rPr>
          <w:rFonts w:ascii="Times New Roman" w:hAnsi="Times New Roman" w:cs="Times New Roman"/>
        </w:rPr>
        <w:t xml:space="preserve">3. </w:t>
      </w:r>
      <w:r w:rsidR="006F5A49" w:rsidRPr="00AE6FE7">
        <w:rPr>
          <w:rFonts w:ascii="Times New Roman" w:hAnsi="Times New Roman" w:cs="Times New Roman"/>
        </w:rPr>
        <w:t xml:space="preserve">It is likewise essential </w:t>
      </w:r>
      <w:r w:rsidR="00663B65" w:rsidRPr="00AE6FE7">
        <w:rPr>
          <w:rFonts w:ascii="Times New Roman" w:hAnsi="Times New Roman" w:cs="Times New Roman"/>
        </w:rPr>
        <w:t>that</w:t>
      </w:r>
      <w:r w:rsidR="006F5A49" w:rsidRPr="00AE6FE7">
        <w:rPr>
          <w:rFonts w:ascii="Times New Roman" w:hAnsi="Times New Roman" w:cs="Times New Roman"/>
        </w:rPr>
        <w:t xml:space="preserve"> the inquiry</w:t>
      </w:r>
      <w:r w:rsidR="00663B65" w:rsidRPr="00AE6FE7">
        <w:rPr>
          <w:rFonts w:ascii="Times New Roman" w:hAnsi="Times New Roman" w:cs="Times New Roman"/>
        </w:rPr>
        <w:t xml:space="preserve"> take</w:t>
      </w:r>
      <w:r w:rsidR="006F5A49" w:rsidRPr="00AE6FE7">
        <w:rPr>
          <w:rFonts w:ascii="Times New Roman" w:hAnsi="Times New Roman" w:cs="Times New Roman"/>
        </w:rPr>
        <w:t>s</w:t>
      </w:r>
      <w:r w:rsidR="00663B65" w:rsidRPr="00AE6FE7">
        <w:rPr>
          <w:rFonts w:ascii="Times New Roman" w:hAnsi="Times New Roman" w:cs="Times New Roman"/>
        </w:rPr>
        <w:t xml:space="preserve"> proper </w:t>
      </w:r>
      <w:r w:rsidR="006F5A49" w:rsidRPr="00AE6FE7">
        <w:rPr>
          <w:rFonts w:ascii="Times New Roman" w:hAnsi="Times New Roman" w:cs="Times New Roman"/>
        </w:rPr>
        <w:t>cognizance</w:t>
      </w:r>
      <w:r w:rsidR="00663B65" w:rsidRPr="00AE6FE7">
        <w:rPr>
          <w:rFonts w:ascii="Times New Roman" w:hAnsi="Times New Roman" w:cs="Times New Roman"/>
        </w:rPr>
        <w:t xml:space="preserve"> of the </w:t>
      </w:r>
      <w:r w:rsidR="00AE3D31" w:rsidRPr="00AE6FE7">
        <w:rPr>
          <w:rFonts w:ascii="Times New Roman" w:hAnsi="Times New Roman" w:cs="Times New Roman"/>
        </w:rPr>
        <w:t xml:space="preserve">range </w:t>
      </w:r>
      <w:r w:rsidR="00663B65" w:rsidRPr="00AE6FE7">
        <w:rPr>
          <w:rFonts w:ascii="Times New Roman" w:hAnsi="Times New Roman" w:cs="Times New Roman"/>
        </w:rPr>
        <w:t xml:space="preserve">of universities and other </w:t>
      </w:r>
      <w:r w:rsidR="006F5A49" w:rsidRPr="00AE6FE7">
        <w:rPr>
          <w:rFonts w:ascii="Times New Roman" w:hAnsi="Times New Roman" w:cs="Times New Roman"/>
        </w:rPr>
        <w:t xml:space="preserve">providers </w:t>
      </w:r>
      <w:r w:rsidR="00663B65" w:rsidRPr="00AE6FE7">
        <w:rPr>
          <w:rFonts w:ascii="Times New Roman" w:hAnsi="Times New Roman" w:cs="Times New Roman"/>
        </w:rPr>
        <w:t xml:space="preserve">that make up the HEI sector and sidestep the dangers of treating the sector </w:t>
      </w:r>
      <w:r w:rsidR="003D3AEF" w:rsidRPr="00AE6FE7">
        <w:rPr>
          <w:rFonts w:ascii="Times New Roman" w:hAnsi="Times New Roman" w:cs="Times New Roman"/>
        </w:rPr>
        <w:t xml:space="preserve">as </w:t>
      </w:r>
      <w:r w:rsidR="00663B65" w:rsidRPr="00AE6FE7">
        <w:rPr>
          <w:rFonts w:ascii="Times New Roman" w:hAnsi="Times New Roman" w:cs="Times New Roman"/>
        </w:rPr>
        <w:t>an homogenous whole.</w:t>
      </w:r>
      <w:r w:rsidR="003D3AEF" w:rsidRPr="00AE6FE7">
        <w:rPr>
          <w:rFonts w:ascii="Times New Roman" w:hAnsi="Times New Roman" w:cs="Times New Roman"/>
        </w:rPr>
        <w:t xml:space="preserve"> An especial strength of the UK HE sector is its diversity: institutions have different strengths, attract diverse constituencies, and are embedded in (and contribute to) specific regional economies. </w:t>
      </w:r>
      <w:r w:rsidR="00663B65" w:rsidRPr="00AE6FE7">
        <w:rPr>
          <w:rFonts w:ascii="Times New Roman" w:hAnsi="Times New Roman" w:cs="Times New Roman"/>
        </w:rPr>
        <w:t xml:space="preserve"> </w:t>
      </w:r>
      <w:r w:rsidR="003D3AEF" w:rsidRPr="00AE6FE7">
        <w:rPr>
          <w:rFonts w:ascii="Times New Roman" w:hAnsi="Times New Roman" w:cs="Times New Roman"/>
        </w:rPr>
        <w:t xml:space="preserve">Our </w:t>
      </w:r>
      <w:r w:rsidR="00CB3A2B">
        <w:rPr>
          <w:rFonts w:ascii="Times New Roman" w:hAnsi="Times New Roman" w:cs="Times New Roman"/>
        </w:rPr>
        <w:t xml:space="preserve">own </w:t>
      </w:r>
      <w:r w:rsidR="003D3AEF" w:rsidRPr="00AE6FE7">
        <w:rPr>
          <w:rFonts w:ascii="Times New Roman" w:hAnsi="Times New Roman" w:cs="Times New Roman"/>
        </w:rPr>
        <w:t>discipline is present across the full range of UK HEIs and Mission Groups, as evidenced in REF2014 in the submission of over 80 Units of Assessment to the History sub-panel.</w:t>
      </w:r>
    </w:p>
    <w:p w14:paraId="0C483A24" w14:textId="0F110F0F" w:rsidR="000B20DB" w:rsidRPr="00CB3A2B" w:rsidRDefault="00912F35" w:rsidP="00912F35">
      <w:pPr>
        <w:spacing w:line="360" w:lineRule="auto"/>
        <w:jc w:val="both"/>
        <w:rPr>
          <w:rFonts w:ascii="Times New Roman" w:hAnsi="Times New Roman" w:cs="Times New Roman"/>
        </w:rPr>
      </w:pPr>
      <w:r>
        <w:rPr>
          <w:rFonts w:ascii="Times New Roman" w:hAnsi="Times New Roman" w:cs="Times New Roman"/>
        </w:rPr>
        <w:t xml:space="preserve">4. </w:t>
      </w:r>
      <w:r w:rsidR="007016BE" w:rsidRPr="00AE6FE7">
        <w:rPr>
          <w:rFonts w:ascii="Times New Roman" w:hAnsi="Times New Roman" w:cs="Times New Roman"/>
        </w:rPr>
        <w:t xml:space="preserve">It is </w:t>
      </w:r>
      <w:r w:rsidR="003D3AEF" w:rsidRPr="00AE6FE7">
        <w:rPr>
          <w:rFonts w:ascii="Times New Roman" w:hAnsi="Times New Roman" w:cs="Times New Roman"/>
        </w:rPr>
        <w:t xml:space="preserve">certainly </w:t>
      </w:r>
      <w:r w:rsidR="007016BE" w:rsidRPr="00AE6FE7">
        <w:rPr>
          <w:rFonts w:ascii="Times New Roman" w:hAnsi="Times New Roman" w:cs="Times New Roman"/>
        </w:rPr>
        <w:t xml:space="preserve">disappointing that </w:t>
      </w:r>
      <w:r w:rsidR="0028633C" w:rsidRPr="00AE6FE7">
        <w:rPr>
          <w:rFonts w:ascii="Times New Roman" w:hAnsi="Times New Roman" w:cs="Times New Roman"/>
        </w:rPr>
        <w:t xml:space="preserve">only </w:t>
      </w:r>
      <w:r w:rsidR="007016BE" w:rsidRPr="00AE6FE7">
        <w:rPr>
          <w:rFonts w:ascii="Times New Roman" w:hAnsi="Times New Roman" w:cs="Times New Roman"/>
        </w:rPr>
        <w:t>35% of respondents to this year’s HE Policy Unit and HEA student experienc</w:t>
      </w:r>
      <w:r w:rsidR="003D3AEF" w:rsidRPr="00AE6FE7">
        <w:rPr>
          <w:rFonts w:ascii="Times New Roman" w:hAnsi="Times New Roman" w:cs="Times New Roman"/>
        </w:rPr>
        <w:t xml:space="preserve">e believed their HE experience </w:t>
      </w:r>
      <w:r w:rsidR="007016BE" w:rsidRPr="00AE6FE7">
        <w:rPr>
          <w:rFonts w:ascii="Times New Roman" w:hAnsi="Times New Roman" w:cs="Times New Roman"/>
        </w:rPr>
        <w:t>was ‘good’ o</w:t>
      </w:r>
      <w:r w:rsidR="003D3AEF" w:rsidRPr="00AE6FE7">
        <w:rPr>
          <w:rFonts w:ascii="Times New Roman" w:hAnsi="Times New Roman" w:cs="Times New Roman"/>
        </w:rPr>
        <w:t>r ‘very good’ value for money. A</w:t>
      </w:r>
      <w:r w:rsidR="007016BE" w:rsidRPr="00AE6FE7">
        <w:rPr>
          <w:rFonts w:ascii="Times New Roman" w:hAnsi="Times New Roman" w:cs="Times New Roman"/>
        </w:rPr>
        <w:t xml:space="preserve">gainst this, it is worth noting that 73 HEIs in this year’s NSS received 85% or above for ‘overall </w:t>
      </w:r>
      <w:r w:rsidR="003D3AEF" w:rsidRPr="00AE6FE7">
        <w:rPr>
          <w:rFonts w:ascii="Times New Roman" w:hAnsi="Times New Roman" w:cs="Times New Roman"/>
        </w:rPr>
        <w:t>satisfaction’ with their course. This</w:t>
      </w:r>
      <w:r w:rsidR="007016BE" w:rsidRPr="00AE6FE7">
        <w:rPr>
          <w:rFonts w:ascii="Times New Roman" w:hAnsi="Times New Roman" w:cs="Times New Roman"/>
        </w:rPr>
        <w:t xml:space="preserve"> suggests a complexity </w:t>
      </w:r>
      <w:r w:rsidR="00450CF2" w:rsidRPr="00AE6FE7">
        <w:rPr>
          <w:rFonts w:ascii="Times New Roman" w:hAnsi="Times New Roman" w:cs="Times New Roman"/>
        </w:rPr>
        <w:t xml:space="preserve">about student attitudes </w:t>
      </w:r>
      <w:r w:rsidR="007016BE" w:rsidRPr="00AE6FE7">
        <w:rPr>
          <w:rFonts w:ascii="Times New Roman" w:hAnsi="Times New Roman" w:cs="Times New Roman"/>
        </w:rPr>
        <w:t xml:space="preserve">which merits investigation. </w:t>
      </w:r>
      <w:r w:rsidR="003D3AEF" w:rsidRPr="00AE6FE7">
        <w:rPr>
          <w:rFonts w:ascii="Times New Roman" w:hAnsi="Times New Roman" w:cs="Times New Roman"/>
        </w:rPr>
        <w:t xml:space="preserve">We underline in particular the need for the Committee to distinguish carefully </w:t>
      </w:r>
      <w:r w:rsidR="000A782D">
        <w:rPr>
          <w:rFonts w:ascii="Times New Roman" w:hAnsi="Times New Roman" w:cs="Times New Roman"/>
        </w:rPr>
        <w:t xml:space="preserve">in its assessment </w:t>
      </w:r>
      <w:r w:rsidR="000A782D">
        <w:rPr>
          <w:rFonts w:ascii="Times New Roman" w:hAnsi="Times New Roman" w:cs="Times New Roman"/>
        </w:rPr>
        <w:lastRenderedPageBreak/>
        <w:t xml:space="preserve">between </w:t>
      </w:r>
      <w:r w:rsidR="000A782D" w:rsidRPr="002A6D7C">
        <w:rPr>
          <w:rFonts w:ascii="Times New Roman" w:hAnsi="Times New Roman" w:cs="Times New Roman"/>
        </w:rPr>
        <w:t>on the one hand</w:t>
      </w:r>
      <w:r w:rsidR="00D60F9A" w:rsidRPr="002A6D7C">
        <w:rPr>
          <w:rFonts w:ascii="Times New Roman" w:hAnsi="Times New Roman" w:cs="Times New Roman"/>
        </w:rPr>
        <w:t xml:space="preserve"> </w:t>
      </w:r>
      <w:r w:rsidR="00D60F9A" w:rsidRPr="00AE6FE7">
        <w:rPr>
          <w:rFonts w:ascii="Times New Roman" w:hAnsi="Times New Roman" w:cs="Times New Roman"/>
        </w:rPr>
        <w:t>an actual absence of value for</w:t>
      </w:r>
      <w:r w:rsidR="000A782D">
        <w:rPr>
          <w:rFonts w:ascii="Times New Roman" w:hAnsi="Times New Roman" w:cs="Times New Roman"/>
        </w:rPr>
        <w:t xml:space="preserve"> money in the HE sector, and, </w:t>
      </w:r>
      <w:r w:rsidR="000A782D" w:rsidRPr="002A6D7C">
        <w:rPr>
          <w:rFonts w:ascii="Times New Roman" w:hAnsi="Times New Roman" w:cs="Times New Roman"/>
        </w:rPr>
        <w:t xml:space="preserve">on the other, </w:t>
      </w:r>
      <w:r w:rsidR="00D60F9A" w:rsidRPr="00AE6FE7">
        <w:rPr>
          <w:rFonts w:ascii="Times New Roman" w:hAnsi="Times New Roman" w:cs="Times New Roman"/>
        </w:rPr>
        <w:t xml:space="preserve">a perceived absence and/or failure to recognize/articulate the presence of value for money. As noted above, substantial data testify to the value added to economy and society by HE activity, including the Humanities. </w:t>
      </w:r>
      <w:r w:rsidR="002E290D">
        <w:rPr>
          <w:rFonts w:ascii="Times New Roman" w:hAnsi="Times New Roman" w:cs="Times New Roman"/>
        </w:rPr>
        <w:t>T</w:t>
      </w:r>
      <w:r w:rsidR="00D60F9A" w:rsidRPr="00AE6FE7">
        <w:rPr>
          <w:rFonts w:ascii="Times New Roman" w:hAnsi="Times New Roman" w:cs="Times New Roman"/>
        </w:rPr>
        <w:t>he Committee should be mindful of the limits of the data with which it measures value in this context.</w:t>
      </w:r>
      <w:r w:rsidR="004C052D" w:rsidRPr="00AE6FE7">
        <w:rPr>
          <w:rFonts w:ascii="Times New Roman" w:hAnsi="Times New Roman" w:cs="Times New Roman"/>
        </w:rPr>
        <w:t xml:space="preserve">  </w:t>
      </w:r>
      <w:r w:rsidR="002A6D7C" w:rsidRPr="00DB40F6">
        <w:rPr>
          <w:rFonts w:ascii="Times New Roman" w:hAnsi="Times New Roman" w:cs="Times New Roman"/>
        </w:rPr>
        <w:t xml:space="preserve">Compared, moreover, to recent surveys of public satisfaction with for example Parliament (38% in 2017), the NHS overall (63% in 2016), and </w:t>
      </w:r>
      <w:r w:rsidR="00DB40F6" w:rsidRPr="00DB40F6">
        <w:rPr>
          <w:rFonts w:ascii="Times New Roman" w:hAnsi="Times New Roman" w:cs="Times New Roman"/>
        </w:rPr>
        <w:t>GP services (72% in 2016</w:t>
      </w:r>
      <w:r w:rsidR="002A6D7C" w:rsidRPr="00DB40F6">
        <w:rPr>
          <w:rFonts w:ascii="Times New Roman" w:hAnsi="Times New Roman" w:cs="Times New Roman"/>
        </w:rPr>
        <w:t>), the NSS scores appear to register very significant levels of satisfaction at many UK HEIs.</w:t>
      </w:r>
      <w:r w:rsidR="00DB40F6" w:rsidRPr="00DB40F6">
        <w:rPr>
          <w:rFonts w:ascii="Times New Roman" w:hAnsi="Times New Roman" w:cs="Times New Roman"/>
        </w:rPr>
        <w:t xml:space="preserve"> </w:t>
      </w:r>
      <w:r w:rsidR="00DB40F6" w:rsidRPr="00CB3A2B">
        <w:rPr>
          <w:rFonts w:ascii="Times New Roman" w:hAnsi="Times New Roman" w:cs="Times New Roman"/>
        </w:rPr>
        <w:t>(</w:t>
      </w:r>
      <w:hyperlink r:id="rId10" w:history="1">
        <w:r w:rsidR="00DB40F6" w:rsidRPr="00CB3A2B">
          <w:rPr>
            <w:rStyle w:val="Hyperlink"/>
            <w:rFonts w:ascii="Times New Roman" w:hAnsi="Times New Roman" w:cs="Times New Roman"/>
            <w:color w:val="auto"/>
            <w:u w:color="420178"/>
          </w:rPr>
          <w:t>https://secondreading.uk</w:t>
        </w:r>
        <w:r w:rsidR="00CB3A2B" w:rsidRPr="00CB3A2B">
          <w:rPr>
            <w:rStyle w:val="Hyperlink"/>
            <w:rFonts w:ascii="Times New Roman" w:hAnsi="Times New Roman" w:cs="Times New Roman"/>
            <w:color w:val="auto"/>
            <w:u w:color="420178"/>
          </w:rPr>
          <w:t xml:space="preserve"> </w:t>
        </w:r>
        <w:r w:rsidR="00DB40F6" w:rsidRPr="00CB3A2B">
          <w:rPr>
            <w:rStyle w:val="Hyperlink"/>
            <w:rFonts w:ascii="Times New Roman" w:hAnsi="Times New Roman" w:cs="Times New Roman"/>
            <w:color w:val="auto"/>
            <w:u w:color="420178"/>
          </w:rPr>
          <w:t>/elections/the-public-and-parliament-more-engaged-less-satisfied/</w:t>
        </w:r>
      </w:hyperlink>
      <w:r w:rsidR="00DB40F6" w:rsidRPr="00CB3A2B">
        <w:rPr>
          <w:rFonts w:ascii="Times New Roman" w:hAnsi="Times New Roman" w:cs="Times New Roman"/>
          <w:u w:val="single" w:color="420178"/>
        </w:rPr>
        <w:t xml:space="preserve">; </w:t>
      </w:r>
      <w:hyperlink r:id="rId11" w:history="1">
        <w:r w:rsidR="00DB40F6" w:rsidRPr="00CB3A2B">
          <w:rPr>
            <w:rFonts w:ascii="Times New Roman" w:hAnsi="Times New Roman" w:cs="Times New Roman"/>
            <w:u w:val="single" w:color="0000E9"/>
          </w:rPr>
          <w:t>https://www.kingsfund.org.uk/publications/public-satisfaction-nhs-2016</w:t>
        </w:r>
      </w:hyperlink>
      <w:r w:rsidR="00DB40F6" w:rsidRPr="00CB3A2B">
        <w:rPr>
          <w:rFonts w:ascii="Times New Roman" w:hAnsi="Times New Roman" w:cs="Times New Roman"/>
        </w:rPr>
        <w:t>.)</w:t>
      </w:r>
    </w:p>
    <w:p w14:paraId="49EB1F04" w14:textId="77777777" w:rsidR="000B20DB" w:rsidRPr="00BC3466" w:rsidRDefault="000B20DB" w:rsidP="00295642">
      <w:pPr>
        <w:spacing w:line="360" w:lineRule="auto"/>
        <w:jc w:val="both"/>
        <w:rPr>
          <w:rFonts w:ascii="Times New Roman" w:hAnsi="Times New Roman" w:cs="Times New Roman"/>
        </w:rPr>
      </w:pPr>
    </w:p>
    <w:p w14:paraId="63F03363" w14:textId="683EDDCC" w:rsidR="0028633C" w:rsidRPr="000B20DB" w:rsidRDefault="00912F35" w:rsidP="00295642">
      <w:pPr>
        <w:spacing w:line="360" w:lineRule="auto"/>
        <w:jc w:val="both"/>
        <w:rPr>
          <w:rFonts w:ascii="Times New Roman" w:hAnsi="Times New Roman" w:cs="Times New Roman"/>
          <w:u w:val="single"/>
        </w:rPr>
      </w:pPr>
      <w:r>
        <w:rPr>
          <w:rFonts w:ascii="Times New Roman" w:hAnsi="Times New Roman" w:cs="Times New Roman"/>
          <w:u w:val="single"/>
        </w:rPr>
        <w:t>II</w:t>
      </w:r>
      <w:r w:rsidR="000B20DB" w:rsidRPr="000B20DB">
        <w:rPr>
          <w:rFonts w:ascii="Times New Roman" w:hAnsi="Times New Roman" w:cs="Times New Roman"/>
          <w:u w:val="single"/>
        </w:rPr>
        <w:t xml:space="preserve">. </w:t>
      </w:r>
      <w:r w:rsidR="0028633C" w:rsidRPr="000B20DB">
        <w:rPr>
          <w:rFonts w:ascii="Times New Roman" w:hAnsi="Times New Roman" w:cs="Times New Roman"/>
          <w:u w:val="single"/>
        </w:rPr>
        <w:t>Graduate Outcomes and the use of destination data</w:t>
      </w:r>
    </w:p>
    <w:p w14:paraId="03E75579" w14:textId="6ABA0633" w:rsidR="004012FA" w:rsidRDefault="00912F35" w:rsidP="000B20DB">
      <w:pPr>
        <w:widowControl w:val="0"/>
        <w:tabs>
          <w:tab w:val="left" w:pos="220"/>
          <w:tab w:val="left" w:pos="720"/>
        </w:tabs>
        <w:autoSpaceDE w:val="0"/>
        <w:autoSpaceDN w:val="0"/>
        <w:adjustRightInd w:val="0"/>
        <w:spacing w:line="360" w:lineRule="auto"/>
        <w:jc w:val="both"/>
        <w:rPr>
          <w:rFonts w:ascii="Times New Roman" w:hAnsi="Times New Roman" w:cs="Times New Roman"/>
          <w:color w:val="121010"/>
        </w:rPr>
      </w:pPr>
      <w:r>
        <w:rPr>
          <w:rFonts w:ascii="Times New Roman" w:hAnsi="Times New Roman"/>
        </w:rPr>
        <w:t xml:space="preserve">1. </w:t>
      </w:r>
      <w:r w:rsidR="00A76F29">
        <w:rPr>
          <w:rFonts w:ascii="Times New Roman" w:hAnsi="Times New Roman"/>
        </w:rPr>
        <w:t xml:space="preserve">The </w:t>
      </w:r>
      <w:r w:rsidR="00DD41BA" w:rsidRPr="002A6D7C">
        <w:rPr>
          <w:rFonts w:ascii="Times New Roman" w:hAnsi="Times New Roman"/>
        </w:rPr>
        <w:t xml:space="preserve">recent </w:t>
      </w:r>
      <w:r w:rsidR="00A76F29">
        <w:rPr>
          <w:rFonts w:ascii="Times New Roman" w:hAnsi="Times New Roman"/>
        </w:rPr>
        <w:t xml:space="preserve">change in name of TEF (from Teaching Excellent Framework to Teaching Excellence Framework and Student Outcomes) underlines the increasing importance of </w:t>
      </w:r>
      <w:r w:rsidR="00A76F29" w:rsidRPr="00037775">
        <w:rPr>
          <w:rFonts w:ascii="Times New Roman" w:hAnsi="Times New Roman"/>
        </w:rPr>
        <w:t>destination da</w:t>
      </w:r>
      <w:r w:rsidR="004C052D" w:rsidRPr="00037775">
        <w:rPr>
          <w:rFonts w:ascii="Times New Roman" w:hAnsi="Times New Roman"/>
        </w:rPr>
        <w:t>ta in the evolving assessment of value</w:t>
      </w:r>
      <w:r w:rsidR="00A76F29" w:rsidRPr="00037775">
        <w:rPr>
          <w:rFonts w:ascii="Times New Roman" w:hAnsi="Times New Roman"/>
        </w:rPr>
        <w:t xml:space="preserve">.  </w:t>
      </w:r>
      <w:r w:rsidR="00D33559" w:rsidRPr="00037775">
        <w:rPr>
          <w:rFonts w:ascii="Times New Roman" w:hAnsi="Times New Roman"/>
        </w:rPr>
        <w:t>The data drawn from D</w:t>
      </w:r>
      <w:r w:rsidR="00B97BE1">
        <w:rPr>
          <w:rFonts w:ascii="Times New Roman" w:hAnsi="Times New Roman"/>
        </w:rPr>
        <w:t>LH</w:t>
      </w:r>
      <w:r w:rsidR="00D33559" w:rsidRPr="00037775">
        <w:rPr>
          <w:rFonts w:ascii="Times New Roman" w:hAnsi="Times New Roman"/>
        </w:rPr>
        <w:t>E and LEO can certainly assist policy mak</w:t>
      </w:r>
      <w:r w:rsidR="00AF45A7" w:rsidRPr="00037775">
        <w:rPr>
          <w:rFonts w:ascii="Times New Roman" w:hAnsi="Times New Roman"/>
        </w:rPr>
        <w:t>ers pursuing equality and social justice</w:t>
      </w:r>
      <w:r w:rsidR="00D33559" w:rsidRPr="00037775">
        <w:rPr>
          <w:rFonts w:ascii="Times New Roman" w:hAnsi="Times New Roman"/>
        </w:rPr>
        <w:t xml:space="preserve">.  </w:t>
      </w:r>
      <w:r w:rsidR="0061390E" w:rsidRPr="00037775">
        <w:rPr>
          <w:rFonts w:ascii="Times New Roman" w:hAnsi="Times New Roman"/>
        </w:rPr>
        <w:t>G</w:t>
      </w:r>
      <w:r w:rsidR="00D33559" w:rsidRPr="00037775">
        <w:rPr>
          <w:rFonts w:ascii="Times New Roman" w:hAnsi="Times New Roman"/>
        </w:rPr>
        <w:t>raduate e</w:t>
      </w:r>
      <w:r w:rsidR="00D33559" w:rsidRPr="00037775">
        <w:rPr>
          <w:rFonts w:ascii="Times New Roman" w:hAnsi="Times New Roman" w:cs="Times New Roman"/>
        </w:rPr>
        <w:t>mployment rates are lower among black and minority ethnic groups, as well as those known to have a disability (Destinations of Leavers from Higher Education Longitudinal survey 2016-17</w:t>
      </w:r>
      <w:r w:rsidR="004012FA">
        <w:rPr>
          <w:rFonts w:ascii="Times New Roman" w:hAnsi="Times New Roman" w:cs="Times New Roman"/>
        </w:rPr>
        <w:t>,</w:t>
      </w:r>
      <w:r w:rsidR="00D33559" w:rsidRPr="00037775">
        <w:rPr>
          <w:rFonts w:ascii="Times New Roman" w:hAnsi="Times New Roman" w:cs="Times New Roman"/>
        </w:rPr>
        <w:t xml:space="preserve"> 2.5 years on)</w:t>
      </w:r>
      <w:r w:rsidR="0061390E" w:rsidRPr="00037775">
        <w:rPr>
          <w:rFonts w:ascii="Times New Roman" w:hAnsi="Times New Roman" w:cs="Times New Roman"/>
        </w:rPr>
        <w:t xml:space="preserve">; </w:t>
      </w:r>
      <w:r w:rsidR="00AF45A7" w:rsidRPr="00037775">
        <w:rPr>
          <w:rFonts w:ascii="Times New Roman" w:hAnsi="Times New Roman" w:cs="Times New Roman"/>
        </w:rPr>
        <w:t>the gender pay gap that ope</w:t>
      </w:r>
      <w:r w:rsidR="0061390E" w:rsidRPr="00037775">
        <w:rPr>
          <w:rFonts w:ascii="Times New Roman" w:hAnsi="Times New Roman" w:cs="Times New Roman"/>
        </w:rPr>
        <w:t xml:space="preserve">ns up from first employment </w:t>
      </w:r>
      <w:r w:rsidR="00AF45A7" w:rsidRPr="00037775">
        <w:rPr>
          <w:rFonts w:ascii="Times New Roman" w:hAnsi="Times New Roman" w:cs="Times New Roman"/>
        </w:rPr>
        <w:t>persists thereafter</w:t>
      </w:r>
      <w:r w:rsidR="00D33559" w:rsidRPr="00037775">
        <w:rPr>
          <w:rFonts w:ascii="Times New Roman" w:hAnsi="Times New Roman" w:cs="Times New Roman"/>
        </w:rPr>
        <w:t>.</w:t>
      </w:r>
      <w:r w:rsidR="0061390E" w:rsidRPr="00037775">
        <w:rPr>
          <w:rFonts w:ascii="Times New Roman" w:hAnsi="Times New Roman" w:cs="Times New Roman"/>
        </w:rPr>
        <w:t xml:space="preserve">  These glaring inequalities demand </w:t>
      </w:r>
      <w:r w:rsidR="00831E89" w:rsidRPr="00037775">
        <w:rPr>
          <w:rFonts w:ascii="Times New Roman" w:hAnsi="Times New Roman" w:cs="Times New Roman"/>
        </w:rPr>
        <w:t xml:space="preserve">policy-makers’ </w:t>
      </w:r>
      <w:r w:rsidR="0061390E" w:rsidRPr="00037775">
        <w:rPr>
          <w:rFonts w:ascii="Times New Roman" w:hAnsi="Times New Roman" w:cs="Times New Roman"/>
        </w:rPr>
        <w:t>attention.</w:t>
      </w:r>
      <w:r w:rsidR="00D33559" w:rsidRPr="00037775">
        <w:rPr>
          <w:rFonts w:ascii="Times New Roman" w:hAnsi="Times New Roman" w:cs="Times New Roman"/>
        </w:rPr>
        <w:t xml:space="preserve"> </w:t>
      </w:r>
      <w:r w:rsidR="00D33559">
        <w:rPr>
          <w:rFonts w:ascii="Times New Roman" w:hAnsi="Times New Roman" w:cs="Times New Roman"/>
          <w:color w:val="121010"/>
        </w:rPr>
        <w:t xml:space="preserve"> </w:t>
      </w:r>
    </w:p>
    <w:p w14:paraId="47C339F9" w14:textId="77777777" w:rsidR="00745A8F" w:rsidRDefault="00912F35" w:rsidP="000B20DB">
      <w:pPr>
        <w:widowControl w:val="0"/>
        <w:tabs>
          <w:tab w:val="left" w:pos="220"/>
          <w:tab w:val="left" w:pos="720"/>
        </w:tabs>
        <w:autoSpaceDE w:val="0"/>
        <w:autoSpaceDN w:val="0"/>
        <w:adjustRightInd w:val="0"/>
        <w:spacing w:line="360" w:lineRule="auto"/>
        <w:jc w:val="both"/>
        <w:rPr>
          <w:rFonts w:ascii="Times New Roman" w:hAnsi="Times New Roman"/>
        </w:rPr>
      </w:pPr>
      <w:r>
        <w:rPr>
          <w:rFonts w:ascii="Times New Roman" w:hAnsi="Times New Roman" w:cs="Times New Roman"/>
          <w:color w:val="121010"/>
        </w:rPr>
        <w:t xml:space="preserve">2. </w:t>
      </w:r>
      <w:r w:rsidR="00D33559">
        <w:rPr>
          <w:rFonts w:ascii="Times New Roman" w:hAnsi="Times New Roman" w:cs="Times New Roman"/>
          <w:color w:val="121010"/>
        </w:rPr>
        <w:t xml:space="preserve">But </w:t>
      </w:r>
      <w:r w:rsidR="0061390E">
        <w:rPr>
          <w:rFonts w:ascii="Times New Roman" w:hAnsi="Times New Roman"/>
        </w:rPr>
        <w:t xml:space="preserve">TEF </w:t>
      </w:r>
      <w:r w:rsidR="00037775" w:rsidRPr="002A6D7C">
        <w:rPr>
          <w:rFonts w:ascii="Times New Roman" w:hAnsi="Times New Roman"/>
        </w:rPr>
        <w:t>itself</w:t>
      </w:r>
      <w:r w:rsidR="00037775">
        <w:rPr>
          <w:rFonts w:ascii="Times New Roman" w:hAnsi="Times New Roman"/>
        </w:rPr>
        <w:t xml:space="preserve"> </w:t>
      </w:r>
      <w:r w:rsidR="0061390E" w:rsidRPr="00037775">
        <w:rPr>
          <w:rFonts w:ascii="Times New Roman" w:hAnsi="Times New Roman"/>
        </w:rPr>
        <w:t>seeks</w:t>
      </w:r>
      <w:r w:rsidR="00E549F7" w:rsidRPr="00037775">
        <w:rPr>
          <w:rFonts w:ascii="Times New Roman" w:hAnsi="Times New Roman"/>
        </w:rPr>
        <w:t xml:space="preserve"> t</w:t>
      </w:r>
      <w:r w:rsidR="00E549F7">
        <w:rPr>
          <w:rFonts w:ascii="Times New Roman" w:hAnsi="Times New Roman"/>
        </w:rPr>
        <w:t xml:space="preserve">o assist </w:t>
      </w:r>
      <w:r w:rsidR="00B50097">
        <w:rPr>
          <w:rFonts w:ascii="Times New Roman" w:hAnsi="Times New Roman"/>
        </w:rPr>
        <w:t xml:space="preserve">prospective </w:t>
      </w:r>
      <w:r w:rsidR="00E549F7">
        <w:rPr>
          <w:rFonts w:ascii="Times New Roman" w:hAnsi="Times New Roman"/>
        </w:rPr>
        <w:t>students’ choice of uni</w:t>
      </w:r>
      <w:r w:rsidR="0061390E">
        <w:rPr>
          <w:rFonts w:ascii="Times New Roman" w:hAnsi="Times New Roman"/>
        </w:rPr>
        <w:t xml:space="preserve">versities and subjects by </w:t>
      </w:r>
      <w:r w:rsidR="00831E89" w:rsidRPr="00037775">
        <w:rPr>
          <w:rFonts w:ascii="Times New Roman" w:hAnsi="Times New Roman"/>
        </w:rPr>
        <w:t>using</w:t>
      </w:r>
      <w:r w:rsidR="00E549F7" w:rsidRPr="00037775">
        <w:rPr>
          <w:rFonts w:ascii="Times New Roman" w:hAnsi="Times New Roman"/>
        </w:rPr>
        <w:t xml:space="preserve"> D</w:t>
      </w:r>
      <w:r w:rsidR="00E549F7">
        <w:rPr>
          <w:rFonts w:ascii="Times New Roman" w:hAnsi="Times New Roman"/>
        </w:rPr>
        <w:t xml:space="preserve">LHE </w:t>
      </w:r>
      <w:r w:rsidR="00B50097">
        <w:rPr>
          <w:rFonts w:ascii="Times New Roman" w:hAnsi="Times New Roman"/>
        </w:rPr>
        <w:t xml:space="preserve">as a core metric </w:t>
      </w:r>
      <w:r w:rsidR="00E549F7">
        <w:rPr>
          <w:rFonts w:ascii="Times New Roman" w:hAnsi="Times New Roman"/>
        </w:rPr>
        <w:t>from TEF2</w:t>
      </w:r>
      <w:r w:rsidR="00037775">
        <w:rPr>
          <w:rFonts w:ascii="Times New Roman" w:hAnsi="Times New Roman"/>
        </w:rPr>
        <w:t xml:space="preserve"> </w:t>
      </w:r>
      <w:r w:rsidR="00037775" w:rsidRPr="002A6D7C">
        <w:rPr>
          <w:rFonts w:ascii="Times New Roman" w:hAnsi="Times New Roman"/>
        </w:rPr>
        <w:t>onwards</w:t>
      </w:r>
      <w:r w:rsidR="00B50097">
        <w:rPr>
          <w:rFonts w:ascii="Times New Roman" w:hAnsi="Times New Roman"/>
        </w:rPr>
        <w:t>, and LEO</w:t>
      </w:r>
      <w:r w:rsidR="00E549F7" w:rsidRPr="00B50097">
        <w:rPr>
          <w:rFonts w:ascii="Times New Roman" w:hAnsi="Times New Roman"/>
        </w:rPr>
        <w:t xml:space="preserve"> as a supplementary metric from TEF3</w:t>
      </w:r>
      <w:r w:rsidR="00037775">
        <w:rPr>
          <w:rFonts w:ascii="Times New Roman" w:hAnsi="Times New Roman"/>
        </w:rPr>
        <w:t xml:space="preserve"> </w:t>
      </w:r>
      <w:r w:rsidR="00037775" w:rsidRPr="002A6D7C">
        <w:rPr>
          <w:rFonts w:ascii="Times New Roman" w:hAnsi="Times New Roman"/>
        </w:rPr>
        <w:t>onwards</w:t>
      </w:r>
      <w:r w:rsidR="00E549F7" w:rsidRPr="00B50097">
        <w:rPr>
          <w:rFonts w:ascii="Times New Roman" w:hAnsi="Times New Roman"/>
        </w:rPr>
        <w:t>.</w:t>
      </w:r>
      <w:r w:rsidR="00B50097">
        <w:rPr>
          <w:rFonts w:ascii="Times New Roman" w:hAnsi="Times New Roman"/>
        </w:rPr>
        <w:t xml:space="preserve">  We are sceptical that this will provide much meaningful information for prospective students</w:t>
      </w:r>
      <w:r w:rsidR="00831E89">
        <w:rPr>
          <w:rFonts w:ascii="Times New Roman" w:hAnsi="Times New Roman"/>
        </w:rPr>
        <w:t xml:space="preserve"> </w:t>
      </w:r>
      <w:r w:rsidR="004151B1" w:rsidRPr="00455C0A">
        <w:rPr>
          <w:rFonts w:ascii="Times New Roman" w:hAnsi="Times New Roman"/>
        </w:rPr>
        <w:t>for four</w:t>
      </w:r>
      <w:r w:rsidR="00745A8F">
        <w:rPr>
          <w:rFonts w:ascii="Times New Roman" w:hAnsi="Times New Roman"/>
        </w:rPr>
        <w:t xml:space="preserve"> reasons:</w:t>
      </w:r>
    </w:p>
    <w:p w14:paraId="02DA81E1" w14:textId="77777777" w:rsidR="00745A8F" w:rsidRPr="00745A8F" w:rsidRDefault="00831E89" w:rsidP="00745A8F">
      <w:pPr>
        <w:pStyle w:val="ListParagraph"/>
        <w:widowControl w:val="0"/>
        <w:numPr>
          <w:ilvl w:val="0"/>
          <w:numId w:val="8"/>
        </w:numPr>
        <w:tabs>
          <w:tab w:val="left" w:pos="220"/>
          <w:tab w:val="left" w:pos="720"/>
        </w:tabs>
        <w:autoSpaceDE w:val="0"/>
        <w:autoSpaceDN w:val="0"/>
        <w:adjustRightInd w:val="0"/>
        <w:spacing w:line="360" w:lineRule="auto"/>
        <w:jc w:val="both"/>
        <w:rPr>
          <w:rFonts w:ascii="Times New Roman" w:hAnsi="Times New Roman" w:cs="Times New Roman"/>
        </w:rPr>
      </w:pPr>
      <w:r w:rsidRPr="00745A8F">
        <w:rPr>
          <w:rFonts w:ascii="Times New Roman" w:hAnsi="Times New Roman"/>
        </w:rPr>
        <w:t>based on extensive experience of university open days and dialogue with prospective Humanities students and their parents/care</w:t>
      </w:r>
      <w:r w:rsidR="00455C0A" w:rsidRPr="00745A8F">
        <w:rPr>
          <w:rFonts w:ascii="Times New Roman" w:hAnsi="Times New Roman"/>
        </w:rPr>
        <w:t>rs, we do not believe that these</w:t>
      </w:r>
      <w:r w:rsidRPr="00745A8F">
        <w:rPr>
          <w:rFonts w:ascii="Times New Roman" w:hAnsi="Times New Roman"/>
        </w:rPr>
        <w:t xml:space="preserve"> data will be comprehended and used in the way intended by TEF’s champions.  Prospecti</w:t>
      </w:r>
      <w:r w:rsidR="00037775" w:rsidRPr="00745A8F">
        <w:rPr>
          <w:rFonts w:ascii="Times New Roman" w:hAnsi="Times New Roman"/>
        </w:rPr>
        <w:t>ve applicants and their adviso</w:t>
      </w:r>
      <w:r w:rsidRPr="00745A8F">
        <w:rPr>
          <w:rFonts w:ascii="Times New Roman" w:hAnsi="Times New Roman"/>
        </w:rPr>
        <w:t>rs are already overwhelmed with available information, which they process imperfectly</w:t>
      </w:r>
      <w:r w:rsidR="00910A98" w:rsidRPr="00745A8F">
        <w:rPr>
          <w:rFonts w:ascii="Times New Roman" w:hAnsi="Times New Roman"/>
        </w:rPr>
        <w:t>.  Adding to this information wit</w:t>
      </w:r>
      <w:r w:rsidR="002A6D7C" w:rsidRPr="00745A8F">
        <w:rPr>
          <w:rFonts w:ascii="Times New Roman" w:hAnsi="Times New Roman"/>
        </w:rPr>
        <w:t>hout simplifying</w:t>
      </w:r>
      <w:r w:rsidR="00910A98" w:rsidRPr="00745A8F">
        <w:rPr>
          <w:rFonts w:ascii="Times New Roman" w:hAnsi="Times New Roman"/>
        </w:rPr>
        <w:t xml:space="preserve"> </w:t>
      </w:r>
      <w:r w:rsidR="004151B1" w:rsidRPr="00745A8F">
        <w:rPr>
          <w:rFonts w:ascii="Times New Roman" w:hAnsi="Times New Roman"/>
        </w:rPr>
        <w:t>its</w:t>
      </w:r>
      <w:r w:rsidR="004151B1" w:rsidRPr="00745A8F">
        <w:rPr>
          <w:rFonts w:ascii="Times New Roman" w:hAnsi="Times New Roman"/>
          <w:color w:val="FF0000"/>
        </w:rPr>
        <w:t xml:space="preserve"> </w:t>
      </w:r>
      <w:r w:rsidR="00910A98" w:rsidRPr="00745A8F">
        <w:rPr>
          <w:rFonts w:ascii="Times New Roman" w:hAnsi="Times New Roman"/>
        </w:rPr>
        <w:t>presentation risks confusing rather than enlightening student choice.</w:t>
      </w:r>
      <w:r w:rsidR="00745A8F">
        <w:rPr>
          <w:rFonts w:ascii="Times New Roman" w:hAnsi="Times New Roman"/>
        </w:rPr>
        <w:t xml:space="preserve">  </w:t>
      </w:r>
    </w:p>
    <w:p w14:paraId="0733168F" w14:textId="77777777" w:rsidR="00745A8F" w:rsidRPr="00745A8F" w:rsidRDefault="00831E89" w:rsidP="00745A8F">
      <w:pPr>
        <w:pStyle w:val="ListParagraph"/>
        <w:widowControl w:val="0"/>
        <w:numPr>
          <w:ilvl w:val="0"/>
          <w:numId w:val="8"/>
        </w:numPr>
        <w:tabs>
          <w:tab w:val="left" w:pos="220"/>
          <w:tab w:val="left" w:pos="720"/>
        </w:tabs>
        <w:autoSpaceDE w:val="0"/>
        <w:autoSpaceDN w:val="0"/>
        <w:adjustRightInd w:val="0"/>
        <w:spacing w:line="360" w:lineRule="auto"/>
        <w:jc w:val="both"/>
        <w:rPr>
          <w:rFonts w:ascii="Times New Roman" w:hAnsi="Times New Roman" w:cs="Times New Roman"/>
        </w:rPr>
      </w:pPr>
      <w:r w:rsidRPr="00745A8F">
        <w:rPr>
          <w:rFonts w:ascii="Times New Roman" w:hAnsi="Times New Roman"/>
        </w:rPr>
        <w:lastRenderedPageBreak/>
        <w:t>w</w:t>
      </w:r>
      <w:r w:rsidR="00B50097" w:rsidRPr="00745A8F">
        <w:rPr>
          <w:rFonts w:ascii="Times New Roman" w:hAnsi="Times New Roman"/>
        </w:rPr>
        <w:t xml:space="preserve">hile it is clear that a graduate premium </w:t>
      </w:r>
      <w:r w:rsidR="00A76F29" w:rsidRPr="00745A8F">
        <w:rPr>
          <w:rFonts w:ascii="Times New Roman" w:hAnsi="Times New Roman"/>
        </w:rPr>
        <w:t>remains</w:t>
      </w:r>
      <w:r w:rsidR="00B50097" w:rsidRPr="00745A8F">
        <w:rPr>
          <w:rFonts w:ascii="Times New Roman" w:hAnsi="Times New Roman"/>
        </w:rPr>
        <w:t xml:space="preserve">, </w:t>
      </w:r>
      <w:r w:rsidR="00A76F29" w:rsidRPr="00745A8F">
        <w:rPr>
          <w:rFonts w:ascii="Times New Roman" w:hAnsi="Times New Roman"/>
        </w:rPr>
        <w:t xml:space="preserve">notwithstanding the expansion of student numbers, </w:t>
      </w:r>
      <w:r w:rsidR="00B50097" w:rsidRPr="00745A8F">
        <w:rPr>
          <w:rFonts w:ascii="Times New Roman" w:hAnsi="Times New Roman"/>
        </w:rPr>
        <w:t xml:space="preserve">other research suggests that once controls are applied for </w:t>
      </w:r>
      <w:r w:rsidR="00910A98" w:rsidRPr="00745A8F">
        <w:rPr>
          <w:rFonts w:ascii="Times New Roman" w:hAnsi="Times New Roman"/>
        </w:rPr>
        <w:t xml:space="preserve">factors such as </w:t>
      </w:r>
      <w:r w:rsidR="00B50097" w:rsidRPr="00745A8F">
        <w:rPr>
          <w:rFonts w:ascii="Times New Roman" w:hAnsi="Times New Roman"/>
        </w:rPr>
        <w:t>prior attainme</w:t>
      </w:r>
      <w:r w:rsidR="00910A98" w:rsidRPr="00745A8F">
        <w:rPr>
          <w:rFonts w:ascii="Times New Roman" w:hAnsi="Times New Roman"/>
        </w:rPr>
        <w:t>nt, background, and region</w:t>
      </w:r>
      <w:r w:rsidR="00B50097" w:rsidRPr="00745A8F">
        <w:rPr>
          <w:rFonts w:ascii="Times New Roman" w:hAnsi="Times New Roman"/>
        </w:rPr>
        <w:t>, there is little difference betwe</w:t>
      </w:r>
      <w:r w:rsidR="00A76F29" w:rsidRPr="00745A8F">
        <w:rPr>
          <w:rFonts w:ascii="Times New Roman" w:hAnsi="Times New Roman"/>
        </w:rPr>
        <w:t>e</w:t>
      </w:r>
      <w:r w:rsidR="00910A98" w:rsidRPr="00745A8F">
        <w:rPr>
          <w:rFonts w:ascii="Times New Roman" w:hAnsi="Times New Roman"/>
        </w:rPr>
        <w:t>n subjects</w:t>
      </w:r>
      <w:r w:rsidR="001B08BC" w:rsidRPr="00745A8F">
        <w:rPr>
          <w:rFonts w:ascii="Times New Roman" w:hAnsi="Times New Roman"/>
        </w:rPr>
        <w:t>, except at the extremes (at one end, medicine, veterinary science and law, and the creative arts at the other).</w:t>
      </w:r>
      <w:r w:rsidR="00745A8F">
        <w:rPr>
          <w:rFonts w:ascii="Times New Roman" w:hAnsi="Times New Roman"/>
        </w:rPr>
        <w:t xml:space="preserve"> </w:t>
      </w:r>
    </w:p>
    <w:p w14:paraId="662F3846" w14:textId="77777777" w:rsidR="00745A8F" w:rsidRPr="00745A8F" w:rsidRDefault="00910A98" w:rsidP="00745A8F">
      <w:pPr>
        <w:pStyle w:val="ListParagraph"/>
        <w:widowControl w:val="0"/>
        <w:numPr>
          <w:ilvl w:val="0"/>
          <w:numId w:val="8"/>
        </w:numPr>
        <w:tabs>
          <w:tab w:val="left" w:pos="220"/>
          <w:tab w:val="left" w:pos="720"/>
        </w:tabs>
        <w:autoSpaceDE w:val="0"/>
        <w:autoSpaceDN w:val="0"/>
        <w:adjustRightInd w:val="0"/>
        <w:spacing w:line="360" w:lineRule="auto"/>
        <w:jc w:val="both"/>
        <w:rPr>
          <w:rFonts w:ascii="Times New Roman" w:hAnsi="Times New Roman" w:cs="Times New Roman"/>
        </w:rPr>
      </w:pPr>
      <w:r w:rsidRPr="00745A8F">
        <w:rPr>
          <w:rFonts w:ascii="Times New Roman" w:hAnsi="Times New Roman"/>
        </w:rPr>
        <w:t>o</w:t>
      </w:r>
      <w:r w:rsidR="00B50097" w:rsidRPr="00745A8F">
        <w:rPr>
          <w:rFonts w:ascii="Times New Roman" w:hAnsi="Times New Roman"/>
        </w:rPr>
        <w:t xml:space="preserve">ther evidence points to </w:t>
      </w:r>
      <w:r w:rsidR="00064717" w:rsidRPr="00745A8F">
        <w:rPr>
          <w:rFonts w:ascii="Times New Roman" w:hAnsi="Times New Roman"/>
        </w:rPr>
        <w:t>employers’ broad indifference to prospective employees’</w:t>
      </w:r>
      <w:r w:rsidR="00B50097" w:rsidRPr="00745A8F">
        <w:rPr>
          <w:rFonts w:ascii="Times New Roman" w:hAnsi="Times New Roman"/>
        </w:rPr>
        <w:t xml:space="preserve"> degree subject, although they do pay mor</w:t>
      </w:r>
      <w:r w:rsidRPr="00745A8F">
        <w:rPr>
          <w:rFonts w:ascii="Times New Roman" w:hAnsi="Times New Roman"/>
        </w:rPr>
        <w:t xml:space="preserve">e attention to </w:t>
      </w:r>
      <w:r w:rsidR="00064717" w:rsidRPr="00745A8F">
        <w:rPr>
          <w:rFonts w:ascii="Times New Roman" w:hAnsi="Times New Roman"/>
        </w:rPr>
        <w:t xml:space="preserve">the </w:t>
      </w:r>
      <w:r w:rsidRPr="00745A8F">
        <w:rPr>
          <w:rFonts w:ascii="Times New Roman" w:hAnsi="Times New Roman"/>
        </w:rPr>
        <w:t>university</w:t>
      </w:r>
      <w:r w:rsidR="00064717" w:rsidRPr="00745A8F">
        <w:rPr>
          <w:rFonts w:ascii="Times New Roman" w:hAnsi="Times New Roman"/>
        </w:rPr>
        <w:t xml:space="preserve"> at which degrees were obtained</w:t>
      </w:r>
      <w:r w:rsidRPr="00745A8F">
        <w:rPr>
          <w:rFonts w:ascii="Times New Roman" w:hAnsi="Times New Roman"/>
        </w:rPr>
        <w:t>.  This</w:t>
      </w:r>
      <w:r w:rsidR="00064717" w:rsidRPr="00745A8F">
        <w:rPr>
          <w:rFonts w:ascii="Times New Roman" w:hAnsi="Times New Roman"/>
        </w:rPr>
        <w:t xml:space="preserve"> may mean that they are</w:t>
      </w:r>
      <w:r w:rsidR="00B50097" w:rsidRPr="00745A8F">
        <w:rPr>
          <w:rFonts w:ascii="Times New Roman" w:hAnsi="Times New Roman"/>
        </w:rPr>
        <w:t xml:space="preserve"> using </w:t>
      </w:r>
      <w:r w:rsidR="004012FA" w:rsidRPr="00745A8F">
        <w:rPr>
          <w:rFonts w:ascii="Times New Roman" w:hAnsi="Times New Roman"/>
        </w:rPr>
        <w:t xml:space="preserve">a </w:t>
      </w:r>
      <w:r w:rsidR="00B50097" w:rsidRPr="00745A8F">
        <w:rPr>
          <w:rFonts w:ascii="Times New Roman" w:hAnsi="Times New Roman"/>
        </w:rPr>
        <w:t>university as a proxy for other char</w:t>
      </w:r>
      <w:r w:rsidRPr="00745A8F">
        <w:rPr>
          <w:rFonts w:ascii="Times New Roman" w:hAnsi="Times New Roman"/>
        </w:rPr>
        <w:t>acteristics, such as background and prior attainment</w:t>
      </w:r>
      <w:r w:rsidR="00B50097" w:rsidRPr="00745A8F">
        <w:rPr>
          <w:rFonts w:ascii="Times New Roman" w:hAnsi="Times New Roman"/>
        </w:rPr>
        <w:t>.</w:t>
      </w:r>
      <w:r w:rsidRPr="00745A8F">
        <w:rPr>
          <w:rFonts w:ascii="Times New Roman" w:hAnsi="Times New Roman"/>
          <w:color w:val="FF0000"/>
        </w:rPr>
        <w:t xml:space="preserve">  </w:t>
      </w:r>
      <w:r w:rsidRPr="00745A8F">
        <w:rPr>
          <w:rFonts w:ascii="Times New Roman" w:hAnsi="Times New Roman"/>
        </w:rPr>
        <w:t xml:space="preserve">Given the Committee’s concern for </w:t>
      </w:r>
      <w:r w:rsidR="004151B1" w:rsidRPr="00745A8F">
        <w:rPr>
          <w:rFonts w:ascii="Times New Roman" w:hAnsi="Times New Roman"/>
        </w:rPr>
        <w:t xml:space="preserve">issues of social justice, </w:t>
      </w:r>
      <w:r w:rsidR="001B08BC" w:rsidRPr="00745A8F">
        <w:rPr>
          <w:rFonts w:ascii="Times New Roman" w:hAnsi="Times New Roman"/>
        </w:rPr>
        <w:t xml:space="preserve">including widening participation, </w:t>
      </w:r>
      <w:r w:rsidR="004151B1" w:rsidRPr="00745A8F">
        <w:rPr>
          <w:rFonts w:ascii="Times New Roman" w:hAnsi="Times New Roman"/>
        </w:rPr>
        <w:t>this l</w:t>
      </w:r>
      <w:r w:rsidRPr="00745A8F">
        <w:rPr>
          <w:rFonts w:ascii="Times New Roman" w:hAnsi="Times New Roman"/>
        </w:rPr>
        <w:t xml:space="preserve">atter point merits especially careful scrutiny. </w:t>
      </w:r>
    </w:p>
    <w:p w14:paraId="626649AB" w14:textId="3C8ED243" w:rsidR="000B20DB" w:rsidRPr="00745A8F" w:rsidRDefault="00A76F29" w:rsidP="00745A8F">
      <w:pPr>
        <w:pStyle w:val="ListParagraph"/>
        <w:widowControl w:val="0"/>
        <w:numPr>
          <w:ilvl w:val="0"/>
          <w:numId w:val="8"/>
        </w:numPr>
        <w:tabs>
          <w:tab w:val="left" w:pos="220"/>
          <w:tab w:val="left" w:pos="720"/>
        </w:tabs>
        <w:autoSpaceDE w:val="0"/>
        <w:autoSpaceDN w:val="0"/>
        <w:adjustRightInd w:val="0"/>
        <w:spacing w:line="360" w:lineRule="auto"/>
        <w:jc w:val="both"/>
        <w:rPr>
          <w:rFonts w:ascii="Times New Roman" w:hAnsi="Times New Roman" w:cs="Times New Roman"/>
        </w:rPr>
      </w:pPr>
      <w:r w:rsidRPr="00745A8F">
        <w:rPr>
          <w:rFonts w:ascii="Times New Roman" w:hAnsi="Times New Roman"/>
        </w:rPr>
        <w:t xml:space="preserve">there is evidence of sustained demand for analytical and managerial skills which are delivered by HEIs, regardless of </w:t>
      </w:r>
      <w:r w:rsidR="00064717" w:rsidRPr="00745A8F">
        <w:rPr>
          <w:rFonts w:ascii="Times New Roman" w:hAnsi="Times New Roman"/>
        </w:rPr>
        <w:t xml:space="preserve">degree </w:t>
      </w:r>
      <w:r w:rsidRPr="00745A8F">
        <w:rPr>
          <w:rFonts w:ascii="Times New Roman" w:hAnsi="Times New Roman"/>
        </w:rPr>
        <w:t>subject.</w:t>
      </w:r>
      <w:r w:rsidR="00B50097" w:rsidRPr="00745A8F">
        <w:rPr>
          <w:rFonts w:ascii="Times New Roman" w:hAnsi="Times New Roman"/>
        </w:rPr>
        <w:t xml:space="preserve"> </w:t>
      </w:r>
      <w:r w:rsidRPr="00745A8F">
        <w:rPr>
          <w:rFonts w:ascii="Times New Roman" w:hAnsi="Times New Roman"/>
        </w:rPr>
        <w:t>This helps to account for the persist</w:t>
      </w:r>
      <w:r w:rsidR="00064717" w:rsidRPr="00745A8F">
        <w:rPr>
          <w:rFonts w:ascii="Times New Roman" w:hAnsi="Times New Roman"/>
        </w:rPr>
        <w:t>ence of the graduate premium. In light of this evidence,</w:t>
      </w:r>
      <w:r w:rsidRPr="00745A8F">
        <w:rPr>
          <w:rFonts w:ascii="Times New Roman" w:hAnsi="Times New Roman"/>
        </w:rPr>
        <w:t xml:space="preserve"> we remain unconvinced that the </w:t>
      </w:r>
      <w:r w:rsidR="004151B1" w:rsidRPr="00745A8F">
        <w:rPr>
          <w:rFonts w:ascii="Times New Roman" w:hAnsi="Times New Roman"/>
        </w:rPr>
        <w:t>destination</w:t>
      </w:r>
      <w:r w:rsidR="004151B1" w:rsidRPr="00745A8F">
        <w:rPr>
          <w:rFonts w:ascii="Times New Roman" w:hAnsi="Times New Roman"/>
          <w:color w:val="FF0000"/>
        </w:rPr>
        <w:t xml:space="preserve"> </w:t>
      </w:r>
      <w:r w:rsidRPr="00745A8F">
        <w:rPr>
          <w:rFonts w:ascii="Times New Roman" w:hAnsi="Times New Roman"/>
        </w:rPr>
        <w:t xml:space="preserve">data will actually deliver the guidance </w:t>
      </w:r>
      <w:r w:rsidRPr="00745A8F">
        <w:rPr>
          <w:rFonts w:ascii="Times New Roman" w:hAnsi="Times New Roman" w:cs="Times New Roman"/>
        </w:rPr>
        <w:t>that is intended.</w:t>
      </w:r>
      <w:r w:rsidR="00AF45A7" w:rsidRPr="00745A8F">
        <w:rPr>
          <w:rFonts w:ascii="Times New Roman" w:hAnsi="Times New Roman" w:cs="Times New Roman"/>
        </w:rPr>
        <w:t xml:space="preserve"> (</w:t>
      </w:r>
      <w:r w:rsidR="000B20DB" w:rsidRPr="00745A8F">
        <w:rPr>
          <w:rFonts w:ascii="Times New Roman" w:hAnsi="Times New Roman" w:cs="Times New Roman"/>
        </w:rPr>
        <w:t xml:space="preserve">P. Mandler, ‘Educating the Nation, IV. Subject Choice’, </w:t>
      </w:r>
      <w:r w:rsidR="000B20DB" w:rsidRPr="00745A8F">
        <w:rPr>
          <w:rFonts w:ascii="Times New Roman" w:hAnsi="Times New Roman" w:cs="Times New Roman"/>
          <w:i/>
        </w:rPr>
        <w:t>Transactions of the Royal Historical Society</w:t>
      </w:r>
      <w:r w:rsidR="000B20DB" w:rsidRPr="00745A8F">
        <w:rPr>
          <w:rFonts w:ascii="Times New Roman" w:hAnsi="Times New Roman" w:cs="Times New Roman"/>
        </w:rPr>
        <w:t xml:space="preserve">, 27 (2017), pp. 24-6; Y. </w:t>
      </w:r>
      <w:r w:rsidR="00AF45A7" w:rsidRPr="00745A8F">
        <w:rPr>
          <w:rFonts w:ascii="Times New Roman" w:hAnsi="Times New Roman" w:cs="Times New Roman"/>
        </w:rPr>
        <w:t>Liu and D</w:t>
      </w:r>
      <w:r w:rsidR="000B20DB" w:rsidRPr="00745A8F">
        <w:rPr>
          <w:rFonts w:ascii="Times New Roman" w:hAnsi="Times New Roman" w:cs="Times New Roman"/>
        </w:rPr>
        <w:t>.</w:t>
      </w:r>
      <w:r w:rsidR="00AF45A7" w:rsidRPr="00745A8F">
        <w:rPr>
          <w:rFonts w:ascii="Times New Roman" w:hAnsi="Times New Roman" w:cs="Times New Roman"/>
        </w:rPr>
        <w:t xml:space="preserve"> B. Grusky, ‘The Payoff to Skill in the Third Industrial Revolution’, </w:t>
      </w:r>
      <w:r w:rsidR="00AF45A7" w:rsidRPr="00745A8F">
        <w:rPr>
          <w:rFonts w:ascii="Times New Roman" w:hAnsi="Times New Roman" w:cs="Times New Roman"/>
          <w:i/>
          <w:iCs/>
        </w:rPr>
        <w:t>American Journal of Sociology</w:t>
      </w:r>
      <w:r w:rsidR="00AF45A7" w:rsidRPr="00745A8F">
        <w:rPr>
          <w:rFonts w:ascii="Times New Roman" w:hAnsi="Times New Roman" w:cs="Times New Roman"/>
        </w:rPr>
        <w:t>, 118 (2013), 1330–74</w:t>
      </w:r>
      <w:r w:rsidR="000B20DB" w:rsidRPr="00745A8F">
        <w:rPr>
          <w:rFonts w:ascii="Times New Roman" w:hAnsi="Times New Roman" w:cs="Times New Roman"/>
        </w:rPr>
        <w:t>.</w:t>
      </w:r>
      <w:r w:rsidR="004012FA" w:rsidRPr="00745A8F">
        <w:rPr>
          <w:rFonts w:ascii="Times New Roman" w:hAnsi="Times New Roman" w:cs="Times New Roman"/>
        </w:rPr>
        <w:t>)</w:t>
      </w:r>
      <w:r w:rsidR="00AF45A7" w:rsidRPr="00745A8F">
        <w:rPr>
          <w:rFonts w:ascii="Times New Roman" w:hAnsi="Times New Roman" w:cs="Times New Roman"/>
        </w:rPr>
        <w:t xml:space="preserve"> </w:t>
      </w:r>
    </w:p>
    <w:p w14:paraId="0DFC51F9" w14:textId="24E1DC4B" w:rsidR="00977AA6" w:rsidRPr="00977AA6" w:rsidRDefault="00912F35" w:rsidP="00456C0F">
      <w:pPr>
        <w:spacing w:line="360" w:lineRule="auto"/>
        <w:jc w:val="both"/>
        <w:rPr>
          <w:rFonts w:ascii="Times New Roman" w:hAnsi="Times New Roman"/>
          <w:color w:val="FF0000"/>
        </w:rPr>
      </w:pPr>
      <w:r>
        <w:rPr>
          <w:rFonts w:ascii="Times New Roman" w:hAnsi="Times New Roman"/>
        </w:rPr>
        <w:t xml:space="preserve">3. </w:t>
      </w:r>
      <w:r w:rsidR="00C157F3" w:rsidRPr="0070173A">
        <w:rPr>
          <w:rFonts w:ascii="Times New Roman" w:hAnsi="Times New Roman"/>
        </w:rPr>
        <w:t>There are other</w:t>
      </w:r>
      <w:r w:rsidR="00A76F29" w:rsidRPr="0070173A">
        <w:rPr>
          <w:rFonts w:ascii="Times New Roman" w:hAnsi="Times New Roman"/>
        </w:rPr>
        <w:t xml:space="preserve"> hazards </w:t>
      </w:r>
      <w:r w:rsidR="00C157F3" w:rsidRPr="0070173A">
        <w:rPr>
          <w:rFonts w:ascii="Times New Roman" w:hAnsi="Times New Roman"/>
        </w:rPr>
        <w:t>in</w:t>
      </w:r>
      <w:r w:rsidR="00D33559" w:rsidRPr="0070173A">
        <w:rPr>
          <w:rFonts w:ascii="Times New Roman" w:hAnsi="Times New Roman"/>
        </w:rPr>
        <w:t xml:space="preserve"> deploying this data in TEF</w:t>
      </w:r>
      <w:r w:rsidR="00A76F29" w:rsidRPr="0070173A">
        <w:rPr>
          <w:rFonts w:ascii="Times New Roman" w:hAnsi="Times New Roman"/>
        </w:rPr>
        <w:t xml:space="preserve">. </w:t>
      </w:r>
      <w:r w:rsidR="00C157F3" w:rsidRPr="0070173A">
        <w:rPr>
          <w:rFonts w:ascii="Times New Roman" w:hAnsi="Times New Roman"/>
        </w:rPr>
        <w:t>Many</w:t>
      </w:r>
      <w:r w:rsidR="00AF45A7" w:rsidRPr="0070173A">
        <w:rPr>
          <w:rFonts w:ascii="Times New Roman" w:hAnsi="Times New Roman"/>
        </w:rPr>
        <w:t xml:space="preserve"> universities have sizeable numbers of overseas students, who are not included </w:t>
      </w:r>
      <w:r w:rsidR="00C157F3" w:rsidRPr="0070173A">
        <w:rPr>
          <w:rFonts w:ascii="Times New Roman" w:hAnsi="Times New Roman"/>
        </w:rPr>
        <w:t>in TEF’s metrics, making</w:t>
      </w:r>
      <w:r w:rsidR="00AF45A7" w:rsidRPr="0070173A">
        <w:rPr>
          <w:rFonts w:ascii="Times New Roman" w:hAnsi="Times New Roman"/>
        </w:rPr>
        <w:t xml:space="preserve"> the data on graduate outcomes </w:t>
      </w:r>
      <w:r w:rsidR="00C157F3" w:rsidRPr="0070173A">
        <w:rPr>
          <w:rFonts w:ascii="Times New Roman" w:hAnsi="Times New Roman"/>
        </w:rPr>
        <w:t>for some institutions</w:t>
      </w:r>
      <w:r w:rsidR="000B20DB" w:rsidRPr="0070173A">
        <w:rPr>
          <w:rFonts w:ascii="Times New Roman" w:hAnsi="Times New Roman"/>
        </w:rPr>
        <w:t xml:space="preserve"> </w:t>
      </w:r>
      <w:r w:rsidR="00AF45A7" w:rsidRPr="0070173A">
        <w:rPr>
          <w:rFonts w:ascii="Times New Roman" w:hAnsi="Times New Roman"/>
        </w:rPr>
        <w:t>incomplete</w:t>
      </w:r>
      <w:r w:rsidR="00C157F3" w:rsidRPr="0070173A">
        <w:rPr>
          <w:rFonts w:ascii="Times New Roman" w:hAnsi="Times New Roman"/>
        </w:rPr>
        <w:t xml:space="preserve"> and indeed misleading</w:t>
      </w:r>
      <w:r w:rsidR="00AF45A7" w:rsidRPr="0070173A">
        <w:rPr>
          <w:rFonts w:ascii="Times New Roman" w:hAnsi="Times New Roman"/>
        </w:rPr>
        <w:t xml:space="preserve">. </w:t>
      </w:r>
      <w:r w:rsidR="00AB1B7C" w:rsidRPr="00B300AF">
        <w:rPr>
          <w:rFonts w:ascii="Times New Roman" w:hAnsi="Times New Roman"/>
        </w:rPr>
        <w:t>Moreover, LEO as presently constituted has limited reach, covering graduate co</w:t>
      </w:r>
      <w:r w:rsidR="00B300AF" w:rsidRPr="00B300AF">
        <w:rPr>
          <w:rFonts w:ascii="Times New Roman" w:hAnsi="Times New Roman"/>
        </w:rPr>
        <w:t>horts from 2003-4 to 2012</w:t>
      </w:r>
      <w:r w:rsidR="00B300AF" w:rsidRPr="00DB40F6">
        <w:rPr>
          <w:rFonts w:ascii="Times New Roman" w:hAnsi="Times New Roman"/>
        </w:rPr>
        <w:t>-13.  It</w:t>
      </w:r>
      <w:r w:rsidR="00AB1B7C" w:rsidRPr="00DB40F6">
        <w:rPr>
          <w:rFonts w:ascii="Times New Roman" w:hAnsi="Times New Roman"/>
        </w:rPr>
        <w:t xml:space="preserve"> would be more useful and more revealing to consider destination data over several decades, and establish whether a graduate degree does indeed confer flexibility and changes in career, in other words ‘graduate lifelong learning’, in a changing labour market.</w:t>
      </w:r>
      <w:r w:rsidR="00AB1B7C" w:rsidRPr="00977AA6">
        <w:rPr>
          <w:rFonts w:ascii="Times New Roman" w:hAnsi="Times New Roman"/>
          <w:color w:val="FF0000"/>
        </w:rPr>
        <w:t xml:space="preserve">  </w:t>
      </w:r>
    </w:p>
    <w:p w14:paraId="79A7A34F" w14:textId="4EF484C7" w:rsidR="00AB1B7C" w:rsidRPr="00DB40F6" w:rsidRDefault="00912F35" w:rsidP="00912F35">
      <w:pPr>
        <w:spacing w:line="360" w:lineRule="auto"/>
        <w:jc w:val="both"/>
        <w:rPr>
          <w:rFonts w:ascii="Times New Roman" w:hAnsi="Times New Roman" w:cs="Times New Roman"/>
        </w:rPr>
      </w:pPr>
      <w:r>
        <w:rPr>
          <w:rFonts w:ascii="Times New Roman" w:hAnsi="Times New Roman"/>
        </w:rPr>
        <w:t xml:space="preserve">4. </w:t>
      </w:r>
      <w:r w:rsidR="000B20DB" w:rsidRPr="00DB40F6">
        <w:rPr>
          <w:rFonts w:ascii="Times New Roman" w:hAnsi="Times New Roman"/>
        </w:rPr>
        <w:t xml:space="preserve">We also believe that </w:t>
      </w:r>
      <w:r w:rsidR="00216118" w:rsidRPr="00DB40F6">
        <w:rPr>
          <w:rFonts w:ascii="Times New Roman" w:hAnsi="Times New Roman"/>
        </w:rPr>
        <w:t xml:space="preserve">linking university degrees to earning power needs to be balanced by </w:t>
      </w:r>
      <w:r w:rsidR="004012FA" w:rsidRPr="00DB40F6">
        <w:rPr>
          <w:rFonts w:ascii="Times New Roman" w:hAnsi="Times New Roman"/>
        </w:rPr>
        <w:t>acknowledging the other benefits of a</w:t>
      </w:r>
      <w:r w:rsidR="00090383" w:rsidRPr="00DB40F6">
        <w:rPr>
          <w:rFonts w:ascii="Times New Roman" w:hAnsi="Times New Roman"/>
        </w:rPr>
        <w:t xml:space="preserve"> university education</w:t>
      </w:r>
      <w:r w:rsidR="004012FA" w:rsidRPr="00DB40F6">
        <w:rPr>
          <w:rFonts w:ascii="Times New Roman" w:hAnsi="Times New Roman"/>
        </w:rPr>
        <w:t xml:space="preserve">: the pursuit of curiosity and intellectual interest for its own sake, </w:t>
      </w:r>
      <w:r w:rsidR="00090383" w:rsidRPr="00DB40F6">
        <w:rPr>
          <w:rFonts w:ascii="Times New Roman" w:hAnsi="Times New Roman"/>
        </w:rPr>
        <w:t>greater health and happiness; and for t</w:t>
      </w:r>
      <w:r w:rsidR="00977AA6" w:rsidRPr="00DB40F6">
        <w:rPr>
          <w:rFonts w:ascii="Times New Roman" w:hAnsi="Times New Roman"/>
        </w:rPr>
        <w:t>h</w:t>
      </w:r>
      <w:r w:rsidR="00090383" w:rsidRPr="00DB40F6">
        <w:rPr>
          <w:rFonts w:ascii="Times New Roman" w:hAnsi="Times New Roman"/>
        </w:rPr>
        <w:t xml:space="preserve">ose who study History, the acquisition of </w:t>
      </w:r>
      <w:r w:rsidR="00AB1B7C" w:rsidRPr="00DB40F6">
        <w:rPr>
          <w:rFonts w:ascii="Times New Roman" w:hAnsi="Times New Roman" w:cs="Times New Roman"/>
        </w:rPr>
        <w:t>humane and ethical</w:t>
      </w:r>
      <w:r w:rsidR="00090383" w:rsidRPr="00DB40F6">
        <w:rPr>
          <w:rFonts w:ascii="Times New Roman" w:hAnsi="Times New Roman" w:cs="Times New Roman"/>
        </w:rPr>
        <w:t xml:space="preserve"> qualities,</w:t>
      </w:r>
      <w:r w:rsidR="00AB1B7C" w:rsidRPr="00DB40F6">
        <w:rPr>
          <w:rFonts w:ascii="Times New Roman" w:hAnsi="Times New Roman" w:cs="Times New Roman"/>
        </w:rPr>
        <w:t xml:space="preserve"> giving its graduates an understanding of current events and the modern world, an insight into </w:t>
      </w:r>
      <w:r w:rsidR="00AB1B7C" w:rsidRPr="00DB40F6">
        <w:rPr>
          <w:rFonts w:ascii="Times New Roman" w:hAnsi="Times New Roman" w:cs="Times New Roman"/>
        </w:rPr>
        <w:lastRenderedPageBreak/>
        <w:t xml:space="preserve">other cultures and different viewpoints and therefore the capacity to play an informed part in society. </w:t>
      </w:r>
      <w:r w:rsidR="00977AA6" w:rsidRPr="00DB40F6">
        <w:rPr>
          <w:rFonts w:ascii="Times New Roman" w:hAnsi="Times New Roman" w:cs="Times New Roman"/>
        </w:rPr>
        <w:t>The public utility of these skills and values is evidenced, with specific respect to History degrees, in the 2011 study by Nicholls, cited above.</w:t>
      </w:r>
    </w:p>
    <w:p w14:paraId="4025C126" w14:textId="76AA6212" w:rsidR="000B20DB" w:rsidRPr="00C157F3" w:rsidRDefault="000B20DB" w:rsidP="000B20DB">
      <w:pPr>
        <w:widowControl w:val="0"/>
        <w:tabs>
          <w:tab w:val="left" w:pos="220"/>
          <w:tab w:val="left" w:pos="720"/>
        </w:tabs>
        <w:autoSpaceDE w:val="0"/>
        <w:autoSpaceDN w:val="0"/>
        <w:adjustRightInd w:val="0"/>
        <w:spacing w:after="240" w:line="360" w:lineRule="auto"/>
        <w:jc w:val="both"/>
        <w:rPr>
          <w:rFonts w:ascii="Times New Roman" w:hAnsi="Times New Roman" w:cs="Times New Roman"/>
          <w:color w:val="FF0000"/>
          <w:u w:val="single"/>
        </w:rPr>
      </w:pPr>
    </w:p>
    <w:p w14:paraId="5DF23763" w14:textId="131B2BE8" w:rsidR="00636B22" w:rsidRDefault="00912F35" w:rsidP="00636B22">
      <w:pPr>
        <w:widowControl w:val="0"/>
        <w:tabs>
          <w:tab w:val="left" w:pos="220"/>
          <w:tab w:val="left" w:pos="720"/>
        </w:tabs>
        <w:autoSpaceDE w:val="0"/>
        <w:autoSpaceDN w:val="0"/>
        <w:adjustRightInd w:val="0"/>
        <w:spacing w:line="360" w:lineRule="auto"/>
        <w:jc w:val="both"/>
        <w:rPr>
          <w:rFonts w:ascii="Times New Roman" w:hAnsi="Times New Roman" w:cs="Times New Roman"/>
        </w:rPr>
      </w:pPr>
      <w:r>
        <w:rPr>
          <w:rFonts w:ascii="Times New Roman" w:hAnsi="Times New Roman" w:cs="Times New Roman"/>
          <w:u w:val="single"/>
        </w:rPr>
        <w:t>III</w:t>
      </w:r>
      <w:r w:rsidR="00636B22" w:rsidRPr="000B20DB">
        <w:rPr>
          <w:rFonts w:ascii="Times New Roman" w:hAnsi="Times New Roman" w:cs="Times New Roman"/>
          <w:u w:val="single"/>
        </w:rPr>
        <w:t>. The quality and effectiveness of teachin</w:t>
      </w:r>
      <w:r w:rsidR="00636B22">
        <w:rPr>
          <w:rFonts w:ascii="Times New Roman" w:hAnsi="Times New Roman" w:cs="Times New Roman"/>
          <w:u w:val="single"/>
        </w:rPr>
        <w:t>g</w:t>
      </w:r>
    </w:p>
    <w:p w14:paraId="3043AE7A" w14:textId="2C7F9823" w:rsidR="00636B22" w:rsidRPr="00636B22" w:rsidRDefault="00912F35" w:rsidP="00636B22">
      <w:pPr>
        <w:widowControl w:val="0"/>
        <w:tabs>
          <w:tab w:val="left" w:pos="220"/>
          <w:tab w:val="left" w:pos="720"/>
        </w:tabs>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1. </w:t>
      </w:r>
      <w:r w:rsidR="00636B22" w:rsidRPr="00636B22">
        <w:rPr>
          <w:rFonts w:ascii="Times New Roman" w:hAnsi="Times New Roman" w:cs="Times New Roman"/>
        </w:rPr>
        <w:t>TEF is intended to be ‘essential to driving up standards of teaching’ (Jo Johnson, 24 February 2017).  While TEF is still evolving, it is clear to us that it has both demonstrable strengths and limitations.  A welcome consequence of TEF 2 has been that HEIs have prioritized the teaching and student o</w:t>
      </w:r>
      <w:r w:rsidR="00D73EE9">
        <w:rPr>
          <w:rFonts w:ascii="Times New Roman" w:hAnsi="Times New Roman" w:cs="Times New Roman"/>
        </w:rPr>
        <w:t xml:space="preserve">utcomes agenda, and new </w:t>
      </w:r>
      <w:r w:rsidR="00D73EE9" w:rsidRPr="00DB40F6">
        <w:rPr>
          <w:rFonts w:ascii="Times New Roman" w:hAnsi="Times New Roman" w:cs="Times New Roman"/>
        </w:rPr>
        <w:t>revenue</w:t>
      </w:r>
      <w:r w:rsidR="00636B22" w:rsidRPr="00DB40F6">
        <w:rPr>
          <w:rFonts w:ascii="Times New Roman" w:hAnsi="Times New Roman" w:cs="Times New Roman"/>
        </w:rPr>
        <w:t xml:space="preserve"> strea</w:t>
      </w:r>
      <w:r w:rsidR="00D73EE9" w:rsidRPr="00DB40F6">
        <w:rPr>
          <w:rFonts w:ascii="Times New Roman" w:hAnsi="Times New Roman" w:cs="Times New Roman"/>
        </w:rPr>
        <w:t>ms have been directed towards</w:t>
      </w:r>
      <w:r w:rsidR="00636B22" w:rsidRPr="00DB40F6">
        <w:rPr>
          <w:rFonts w:ascii="Times New Roman" w:hAnsi="Times New Roman" w:cs="Times New Roman"/>
        </w:rPr>
        <w:t xml:space="preserve"> tackling a whole raft of issues, such as retention, employability, attainment</w:t>
      </w:r>
      <w:r w:rsidR="00090383" w:rsidRPr="00DB40F6">
        <w:rPr>
          <w:rFonts w:ascii="Times New Roman" w:hAnsi="Times New Roman" w:cs="Times New Roman"/>
        </w:rPr>
        <w:t xml:space="preserve"> and widening participation.   A r</w:t>
      </w:r>
      <w:r w:rsidR="00636B22" w:rsidRPr="00DB40F6">
        <w:rPr>
          <w:rFonts w:ascii="Times New Roman" w:hAnsi="Times New Roman" w:cs="Times New Roman"/>
        </w:rPr>
        <w:t xml:space="preserve">eading </w:t>
      </w:r>
      <w:r w:rsidR="00090383" w:rsidRPr="00DB40F6">
        <w:rPr>
          <w:rFonts w:ascii="Times New Roman" w:hAnsi="Times New Roman" w:cs="Times New Roman"/>
        </w:rPr>
        <w:t xml:space="preserve">of </w:t>
      </w:r>
      <w:r w:rsidR="00636B22" w:rsidRPr="00DB40F6">
        <w:rPr>
          <w:rFonts w:ascii="Times New Roman" w:hAnsi="Times New Roman" w:cs="Times New Roman"/>
        </w:rPr>
        <w:t xml:space="preserve">providers’ submissions and the comments of the TEF panel also suggests that HEIs which demonstrated genuine engagement with students, and enhancement of teaching and learning, often received gold or silver awards.  We applaud the importance of the TEF panel in offering an important element of peer-review, to counter-balance an over-reliance on metrics. It is vital to note that academic confidence in </w:t>
      </w:r>
      <w:r w:rsidR="00D73EE9" w:rsidRPr="00DB40F6">
        <w:rPr>
          <w:rFonts w:ascii="Times New Roman" w:hAnsi="Times New Roman" w:cs="Times New Roman"/>
        </w:rPr>
        <w:t>the R</w:t>
      </w:r>
      <w:r w:rsidR="00745A8F">
        <w:rPr>
          <w:rFonts w:ascii="Times New Roman" w:hAnsi="Times New Roman" w:cs="Times New Roman"/>
        </w:rPr>
        <w:t>EF</w:t>
      </w:r>
      <w:r w:rsidR="00636B22" w:rsidRPr="00DB40F6">
        <w:rPr>
          <w:rFonts w:ascii="Times New Roman" w:hAnsi="Times New Roman" w:cs="Times New Roman"/>
        </w:rPr>
        <w:t xml:space="preserve"> derives</w:t>
      </w:r>
      <w:r w:rsidR="00636B22" w:rsidRPr="00636B22">
        <w:rPr>
          <w:rFonts w:ascii="Times New Roman" w:hAnsi="Times New Roman" w:cs="Times New Roman"/>
        </w:rPr>
        <w:t xml:space="preserve"> very significantly from its predominant reliance on peer-review.  If TEF is to command the confidence of participating institutions—and to attract wider institutional participation from the sector—then peer-review will need to be maintained</w:t>
      </w:r>
      <w:r w:rsidR="00636B22">
        <w:rPr>
          <w:rFonts w:ascii="Times New Roman" w:hAnsi="Times New Roman" w:cs="Times New Roman"/>
        </w:rPr>
        <w:t>,</w:t>
      </w:r>
      <w:r w:rsidR="00636B22" w:rsidRPr="00636B22">
        <w:rPr>
          <w:rFonts w:ascii="Times New Roman" w:hAnsi="Times New Roman" w:cs="Times New Roman"/>
          <w:color w:val="FF0000"/>
        </w:rPr>
        <w:t xml:space="preserve"> </w:t>
      </w:r>
      <w:r w:rsidR="00636B22" w:rsidRPr="00D73EE9">
        <w:rPr>
          <w:rFonts w:ascii="Times New Roman" w:hAnsi="Times New Roman" w:cs="Times New Roman"/>
        </w:rPr>
        <w:t xml:space="preserve">and perhaps enhanced, </w:t>
      </w:r>
      <w:r w:rsidR="00636B22" w:rsidRPr="00636B22">
        <w:rPr>
          <w:rFonts w:ascii="Times New Roman" w:hAnsi="Times New Roman" w:cs="Times New Roman"/>
        </w:rPr>
        <w:t xml:space="preserve">as integral to the process.  </w:t>
      </w:r>
    </w:p>
    <w:p w14:paraId="544E80A6" w14:textId="4C50980D" w:rsidR="00090383" w:rsidRPr="00DB40F6" w:rsidRDefault="00912F35" w:rsidP="00636B22">
      <w:pPr>
        <w:widowControl w:val="0"/>
        <w:tabs>
          <w:tab w:val="left" w:pos="220"/>
          <w:tab w:val="left" w:pos="720"/>
        </w:tabs>
        <w:autoSpaceDE w:val="0"/>
        <w:autoSpaceDN w:val="0"/>
        <w:adjustRightInd w:val="0"/>
        <w:spacing w:line="360" w:lineRule="auto"/>
        <w:jc w:val="both"/>
        <w:rPr>
          <w:rFonts w:ascii="Times New Roman" w:hAnsi="Times New Roman" w:cs="Times New Roman"/>
        </w:rPr>
      </w:pPr>
      <w:r w:rsidRPr="00912F35">
        <w:rPr>
          <w:rFonts w:ascii="Times New Roman" w:hAnsi="Times New Roman" w:cs="Times New Roman"/>
        </w:rPr>
        <w:t xml:space="preserve">2. </w:t>
      </w:r>
      <w:r w:rsidR="00636B22" w:rsidRPr="00BC3466">
        <w:rPr>
          <w:rFonts w:ascii="Times New Roman" w:hAnsi="Times New Roman" w:cs="Times New Roman"/>
        </w:rPr>
        <w:t xml:space="preserve">We also accept the logic of moving towards subject-level submissions, planned for TEF 5, since it fits with most of the objectives driving TEF: choice, raising esteem for teaching, and recognising and rewarding excellence in teaching. </w:t>
      </w:r>
      <w:r w:rsidR="00636B22" w:rsidRPr="00D73EE9">
        <w:rPr>
          <w:rFonts w:ascii="Times New Roman" w:hAnsi="Times New Roman" w:cs="Times New Roman"/>
        </w:rPr>
        <w:t>It is</w:t>
      </w:r>
      <w:r w:rsidR="00636B22" w:rsidRPr="001B675A">
        <w:rPr>
          <w:rFonts w:ascii="Times New Roman" w:hAnsi="Times New Roman" w:cs="Times New Roman"/>
          <w:color w:val="FF0000"/>
        </w:rPr>
        <w:t xml:space="preserve"> </w:t>
      </w:r>
      <w:r w:rsidR="00D73EE9" w:rsidRPr="00DB40F6">
        <w:rPr>
          <w:rFonts w:ascii="Times New Roman" w:hAnsi="Times New Roman" w:cs="Times New Roman"/>
        </w:rPr>
        <w:t xml:space="preserve">however </w:t>
      </w:r>
      <w:r w:rsidR="00636B22" w:rsidRPr="00DB40F6">
        <w:rPr>
          <w:rFonts w:ascii="Times New Roman" w:hAnsi="Times New Roman" w:cs="Times New Roman"/>
        </w:rPr>
        <w:t>essential that the fit between ‘subject’ and ‘course’ is satisfactorily addressed so that prospective applicants can make meaningful use of this data.</w:t>
      </w:r>
      <w:r w:rsidR="00D73EE9" w:rsidRPr="00DB40F6">
        <w:rPr>
          <w:rFonts w:ascii="Times New Roman" w:hAnsi="Times New Roman" w:cs="Times New Roman"/>
        </w:rPr>
        <w:t xml:space="preserve">  Moreo</w:t>
      </w:r>
      <w:r w:rsidR="00636B22" w:rsidRPr="00DB40F6">
        <w:rPr>
          <w:rFonts w:ascii="Times New Roman" w:hAnsi="Times New Roman" w:cs="Times New Roman"/>
        </w:rPr>
        <w:t>ver, we are concerned about the planned incorporation of two new supplementary metrics for TEF 5: LEO, for the reasons expressed abo</w:t>
      </w:r>
      <w:r w:rsidR="00090383" w:rsidRPr="00DB40F6">
        <w:rPr>
          <w:rFonts w:ascii="Times New Roman" w:hAnsi="Times New Roman" w:cs="Times New Roman"/>
        </w:rPr>
        <w:t xml:space="preserve">ve, </w:t>
      </w:r>
      <w:r w:rsidR="00B23655" w:rsidRPr="00DB40F6">
        <w:rPr>
          <w:rFonts w:ascii="Times New Roman" w:hAnsi="Times New Roman" w:cs="Times New Roman"/>
        </w:rPr>
        <w:t>and ‘teaching intensity’ with its focus on contact hours and class size.</w:t>
      </w:r>
      <w:r w:rsidR="00636B22" w:rsidRPr="00DB40F6">
        <w:rPr>
          <w:rFonts w:ascii="Times New Roman" w:hAnsi="Times New Roman" w:cs="Times New Roman"/>
        </w:rPr>
        <w:t xml:space="preserve">  </w:t>
      </w:r>
    </w:p>
    <w:p w14:paraId="2F894C2C" w14:textId="6E9CFCB1" w:rsidR="00636B22" w:rsidRPr="00636B22" w:rsidRDefault="00912F35" w:rsidP="00636B22">
      <w:pPr>
        <w:widowControl w:val="0"/>
        <w:tabs>
          <w:tab w:val="left" w:pos="220"/>
          <w:tab w:val="left" w:pos="720"/>
        </w:tabs>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3. </w:t>
      </w:r>
      <w:r w:rsidR="00D73EE9" w:rsidRPr="00DB40F6">
        <w:rPr>
          <w:rFonts w:ascii="Times New Roman" w:hAnsi="Times New Roman" w:cs="Times New Roman"/>
        </w:rPr>
        <w:t>With regard to ‘teaching intensity’, t</w:t>
      </w:r>
      <w:r w:rsidR="00636B22" w:rsidRPr="00DB40F6">
        <w:rPr>
          <w:rFonts w:ascii="Times New Roman" w:hAnsi="Times New Roman" w:cs="Times New Roman"/>
        </w:rPr>
        <w:t>here is certainly some significant variation in contact hours</w:t>
      </w:r>
      <w:r w:rsidR="00B23655" w:rsidRPr="00DB40F6">
        <w:rPr>
          <w:rFonts w:ascii="Times New Roman" w:hAnsi="Times New Roman" w:cs="Times New Roman"/>
        </w:rPr>
        <w:t xml:space="preserve"> </w:t>
      </w:r>
      <w:r w:rsidR="00636B22" w:rsidRPr="00DB40F6">
        <w:rPr>
          <w:rFonts w:ascii="Times New Roman" w:hAnsi="Times New Roman" w:cs="Times New Roman"/>
        </w:rPr>
        <w:t xml:space="preserve">which individual HEIs will need to register, and the case for quality (as much as the quantity) of contact time needs to be articulated clearly for the benefit of prospective students.   Absent </w:t>
      </w:r>
      <w:r w:rsidR="00B23655" w:rsidRPr="00DB40F6">
        <w:rPr>
          <w:rFonts w:ascii="Times New Roman" w:hAnsi="Times New Roman" w:cs="Times New Roman"/>
        </w:rPr>
        <w:t>from ‘teaching intensity’, however,</w:t>
      </w:r>
      <w:r w:rsidR="00636B22" w:rsidRPr="00DB40F6">
        <w:rPr>
          <w:rFonts w:ascii="Times New Roman" w:hAnsi="Times New Roman" w:cs="Times New Roman"/>
        </w:rPr>
        <w:t xml:space="preserve"> is attention to many key </w:t>
      </w:r>
      <w:r w:rsidR="00D73EE9" w:rsidRPr="00DB40F6">
        <w:rPr>
          <w:rFonts w:ascii="Times New Roman" w:hAnsi="Times New Roman" w:cs="Times New Roman"/>
        </w:rPr>
        <w:t xml:space="preserve">teaching </w:t>
      </w:r>
      <w:r w:rsidR="00636B22" w:rsidRPr="00DB40F6">
        <w:rPr>
          <w:rFonts w:ascii="Times New Roman" w:hAnsi="Times New Roman" w:cs="Times New Roman"/>
        </w:rPr>
        <w:t>resources that enrich (or, in their absen</w:t>
      </w:r>
      <w:r w:rsidR="00D73EE9" w:rsidRPr="00DB40F6">
        <w:rPr>
          <w:rFonts w:ascii="Times New Roman" w:hAnsi="Times New Roman" w:cs="Times New Roman"/>
        </w:rPr>
        <w:t>ce, can impoverish)</w:t>
      </w:r>
      <w:r w:rsidR="00636B22" w:rsidRPr="00DB40F6">
        <w:rPr>
          <w:rFonts w:ascii="Times New Roman" w:hAnsi="Times New Roman" w:cs="Times New Roman"/>
        </w:rPr>
        <w:t xml:space="preserve"> learning.  In </w:t>
      </w:r>
      <w:r w:rsidR="00636B22" w:rsidRPr="00DB40F6">
        <w:rPr>
          <w:rFonts w:ascii="Times New Roman" w:hAnsi="Times New Roman" w:cs="Times New Roman"/>
        </w:rPr>
        <w:lastRenderedPageBreak/>
        <w:t>History, these include access to manuscript resources, museum collections, online databases of primary and secondary sources, libraries and collaborative learning opportunities with local and national charities, herit</w:t>
      </w:r>
      <w:r w:rsidR="00D73EE9" w:rsidRPr="00DB40F6">
        <w:rPr>
          <w:rFonts w:ascii="Times New Roman" w:hAnsi="Times New Roman" w:cs="Times New Roman"/>
        </w:rPr>
        <w:t>age organisations, etc.  Active e</w:t>
      </w:r>
      <w:r w:rsidR="00636B22" w:rsidRPr="00DB40F6">
        <w:rPr>
          <w:rFonts w:ascii="Times New Roman" w:hAnsi="Times New Roman" w:cs="Times New Roman"/>
        </w:rPr>
        <w:t>ngagement with resources such as these sharpens students’ transferable</w:t>
      </w:r>
      <w:r w:rsidR="00636B22" w:rsidRPr="00636B22">
        <w:rPr>
          <w:rFonts w:ascii="Times New Roman" w:hAnsi="Times New Roman" w:cs="Times New Roman"/>
        </w:rPr>
        <w:t xml:space="preserve"> analytical skills and can be pivotal in their subsequent graduate employment.</w:t>
      </w:r>
    </w:p>
    <w:p w14:paraId="413C0342" w14:textId="3D21B612" w:rsidR="00636B22" w:rsidRPr="00636B22" w:rsidRDefault="00912F35" w:rsidP="00636B22">
      <w:pPr>
        <w:widowControl w:val="0"/>
        <w:tabs>
          <w:tab w:val="left" w:pos="220"/>
          <w:tab w:val="left" w:pos="720"/>
        </w:tabs>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4. </w:t>
      </w:r>
      <w:r w:rsidR="00636B22" w:rsidRPr="00636B22">
        <w:rPr>
          <w:rFonts w:ascii="Times New Roman" w:hAnsi="Times New Roman" w:cs="Times New Roman"/>
        </w:rPr>
        <w:t xml:space="preserve">More broadly, the planned emphasis on ‘teaching intensity’ misses a fundamental point by conflating teaching with learning. Learning is the ultimate objective for students (and presumably for their prospective employees), and is what is assessed for their degree classification. As is clearly reflected in the History subject benchmark, university study of History is not designed to fill our students with knowledge so much as to inform, direct and inspire them to become active, effective and independent learners and critical assessors </w:t>
      </w:r>
      <w:r w:rsidR="00B23655">
        <w:rPr>
          <w:rFonts w:ascii="Times New Roman" w:hAnsi="Times New Roman" w:cs="Times New Roman"/>
        </w:rPr>
        <w:t>of evidence.  History graduates</w:t>
      </w:r>
      <w:r w:rsidR="00636B22" w:rsidRPr="00636B22">
        <w:rPr>
          <w:rFonts w:ascii="Times New Roman" w:hAnsi="Times New Roman" w:cs="Times New Roman"/>
        </w:rPr>
        <w:t xml:space="preserve"> should be capable, indeed, of creating their own knowledge.  History confers many invaluable graduate attributes and transferable skills, such as critical thinking, close reading and careful attention to the subtleties of language, powers of advocacy on paper or in person, and ‘learning how to learn’ (D. Nicholls, </w:t>
      </w:r>
      <w:r w:rsidR="00636B22" w:rsidRPr="00636B22">
        <w:rPr>
          <w:rFonts w:ascii="Times New Roman" w:hAnsi="Times New Roman" w:cs="Times New Roman"/>
          <w:i/>
        </w:rPr>
        <w:t xml:space="preserve">The employability of History students, </w:t>
      </w:r>
      <w:r w:rsidR="00636B22" w:rsidRPr="00636B22">
        <w:rPr>
          <w:rFonts w:ascii="Times New Roman" w:hAnsi="Times New Roman" w:cs="Times New Roman"/>
        </w:rPr>
        <w:t>2005).</w:t>
      </w:r>
      <w:r w:rsidR="00636B22" w:rsidRPr="00636B22">
        <w:rPr>
          <w:rFonts w:ascii="Times New Roman" w:hAnsi="Times New Roman" w:cs="Times New Roman"/>
          <w:i/>
        </w:rPr>
        <w:t xml:space="preserve"> </w:t>
      </w:r>
      <w:r w:rsidR="00636B22" w:rsidRPr="00636B22">
        <w:rPr>
          <w:rFonts w:ascii="Times New Roman" w:hAnsi="Times New Roman" w:cs="Times New Roman"/>
        </w:rPr>
        <w:t xml:space="preserve"> </w:t>
      </w:r>
    </w:p>
    <w:p w14:paraId="7E2F40C8" w14:textId="381BABBE" w:rsidR="00D73EE9" w:rsidRPr="00D73EE9" w:rsidRDefault="00621ECC" w:rsidP="00636B22">
      <w:pPr>
        <w:widowControl w:val="0"/>
        <w:tabs>
          <w:tab w:val="left" w:pos="220"/>
          <w:tab w:val="left" w:pos="720"/>
        </w:tabs>
        <w:autoSpaceDE w:val="0"/>
        <w:autoSpaceDN w:val="0"/>
        <w:adjustRightInd w:val="0"/>
        <w:spacing w:line="360" w:lineRule="auto"/>
        <w:jc w:val="both"/>
        <w:rPr>
          <w:rFonts w:ascii="Times New Roman" w:hAnsi="Times New Roman" w:cs="Times New Roman"/>
          <w:color w:val="FF0000"/>
        </w:rPr>
      </w:pPr>
      <w:r>
        <w:rPr>
          <w:rFonts w:ascii="Times New Roman" w:hAnsi="Times New Roman" w:cs="Times New Roman"/>
        </w:rPr>
        <w:t xml:space="preserve">5. </w:t>
      </w:r>
      <w:r w:rsidR="00636B22" w:rsidRPr="00636B22">
        <w:rPr>
          <w:rFonts w:ascii="Times New Roman" w:hAnsi="Times New Roman" w:cs="Times New Roman"/>
        </w:rPr>
        <w:t>Learning such skills occurs through contact hours, certainly, but also through independent or collaborative work outside seminars or tutorials, in reading, reflection and prepa</w:t>
      </w:r>
      <w:r w:rsidR="00D73EE9">
        <w:rPr>
          <w:rFonts w:ascii="Times New Roman" w:hAnsi="Times New Roman" w:cs="Times New Roman"/>
        </w:rPr>
        <w:t xml:space="preserve">ration of written or oral </w:t>
      </w:r>
      <w:r w:rsidR="00D73EE9" w:rsidRPr="00EC1C69">
        <w:rPr>
          <w:rFonts w:ascii="Times New Roman" w:hAnsi="Times New Roman" w:cs="Times New Roman"/>
        </w:rPr>
        <w:t>work.  I</w:t>
      </w:r>
      <w:r w:rsidR="00B23655" w:rsidRPr="00EC1C69">
        <w:rPr>
          <w:rFonts w:ascii="Times New Roman" w:hAnsi="Times New Roman" w:cs="Times New Roman"/>
        </w:rPr>
        <w:t xml:space="preserve">n so doing, </w:t>
      </w:r>
      <w:r w:rsidR="00636B22" w:rsidRPr="00EC1C69">
        <w:rPr>
          <w:rFonts w:ascii="Times New Roman" w:hAnsi="Times New Roman" w:cs="Times New Roman"/>
        </w:rPr>
        <w:t xml:space="preserve">students also turn to subject librarians, pastoral and learning support services.  Learning is a complex product of the interplay of academic hours and types of tuition, size of classes, library </w:t>
      </w:r>
      <w:r w:rsidR="00D73EE9" w:rsidRPr="00EC1C69">
        <w:rPr>
          <w:rFonts w:ascii="Times New Roman" w:hAnsi="Times New Roman" w:cs="Times New Roman"/>
        </w:rPr>
        <w:t xml:space="preserve">and cognate </w:t>
      </w:r>
      <w:r w:rsidR="00636B22" w:rsidRPr="00EC1C69">
        <w:rPr>
          <w:rFonts w:ascii="Times New Roman" w:hAnsi="Times New Roman" w:cs="Times New Roman"/>
        </w:rPr>
        <w:t>resources, the learning culture and sense of academic community, and, of course, the research expertise of the teacher. Many of these processes cannot be satisfactorily captured by a metric on teaching intensity.</w:t>
      </w:r>
      <w:r w:rsidR="00636B22" w:rsidRPr="00D73EE9">
        <w:rPr>
          <w:rFonts w:ascii="Times New Roman" w:hAnsi="Times New Roman" w:cs="Times New Roman"/>
          <w:color w:val="FF0000"/>
        </w:rPr>
        <w:t xml:space="preserve"> </w:t>
      </w:r>
    </w:p>
    <w:p w14:paraId="3655DB8F" w14:textId="35FC4851" w:rsidR="00636B22" w:rsidRPr="00D73EE9" w:rsidRDefault="00621ECC" w:rsidP="00636B22">
      <w:pPr>
        <w:widowControl w:val="0"/>
        <w:tabs>
          <w:tab w:val="left" w:pos="220"/>
          <w:tab w:val="left" w:pos="720"/>
        </w:tabs>
        <w:autoSpaceDE w:val="0"/>
        <w:autoSpaceDN w:val="0"/>
        <w:adjustRightInd w:val="0"/>
        <w:spacing w:line="360" w:lineRule="auto"/>
        <w:jc w:val="both"/>
        <w:rPr>
          <w:rFonts w:ascii="Times New Roman" w:hAnsi="Times New Roman" w:cs="Times New Roman"/>
        </w:rPr>
      </w:pPr>
      <w:r>
        <w:rPr>
          <w:rFonts w:ascii="Times New Roman" w:hAnsi="Times New Roman" w:cs="Times New Roman"/>
        </w:rPr>
        <w:t>6</w:t>
      </w:r>
      <w:r w:rsidR="00912F35" w:rsidRPr="00912F35">
        <w:rPr>
          <w:rFonts w:ascii="Times New Roman" w:hAnsi="Times New Roman" w:cs="Times New Roman"/>
        </w:rPr>
        <w:t xml:space="preserve">. </w:t>
      </w:r>
      <w:r w:rsidR="00636B22" w:rsidRPr="00EC1C69">
        <w:rPr>
          <w:rFonts w:ascii="Times New Roman" w:hAnsi="Times New Roman" w:cs="Times New Roman"/>
        </w:rPr>
        <w:t>Importantly, the</w:t>
      </w:r>
      <w:r w:rsidR="00636B22" w:rsidRPr="00636B22">
        <w:rPr>
          <w:rFonts w:ascii="Times New Roman" w:hAnsi="Times New Roman" w:cs="Times New Roman"/>
        </w:rPr>
        <w:t xml:space="preserve"> type of learning outlined above, characteristic of excellent History and wider Humanities learning, is genuinely challenging for students.  Its level of difficulty—relative to History in schools, which places significantly fewer demands on independent learning and critical analysis—is entirely appropriate for university-level study and its value in the workplace is reflected in the graduate premium. The NSS results must be read in this context.  Policy-makers may wish to weigh students’ short-term perceptions against their long-term outcomes.</w:t>
      </w:r>
      <w:r w:rsidR="00636B22">
        <w:rPr>
          <w:rFonts w:ascii="Times New Roman" w:hAnsi="Times New Roman" w:cs="Times New Roman"/>
        </w:rPr>
        <w:t xml:space="preserve">  </w:t>
      </w:r>
      <w:r w:rsidR="00636B22" w:rsidRPr="00D73EE9">
        <w:rPr>
          <w:rFonts w:ascii="Times New Roman" w:hAnsi="Times New Roman" w:cs="Times New Roman"/>
        </w:rPr>
        <w:t>More broadly, we would welcome further research into ‘learning gains’ which has the potential via TEF to address institutional or subject-level ‘value added’ for students</w:t>
      </w:r>
      <w:r w:rsidR="00B23655" w:rsidRPr="00D73EE9">
        <w:rPr>
          <w:rFonts w:ascii="Times New Roman" w:hAnsi="Times New Roman" w:cs="Times New Roman"/>
        </w:rPr>
        <w:t>,</w:t>
      </w:r>
      <w:r w:rsidR="00636B22" w:rsidRPr="00D73EE9">
        <w:rPr>
          <w:rFonts w:ascii="Times New Roman" w:hAnsi="Times New Roman" w:cs="Times New Roman"/>
        </w:rPr>
        <w:t xml:space="preserve"> and </w:t>
      </w:r>
      <w:r w:rsidR="00E442BF" w:rsidRPr="00D73EE9">
        <w:rPr>
          <w:rFonts w:ascii="Times New Roman" w:hAnsi="Times New Roman" w:cs="Times New Roman"/>
        </w:rPr>
        <w:t xml:space="preserve">thus </w:t>
      </w:r>
      <w:r w:rsidR="00636B22" w:rsidRPr="00D73EE9">
        <w:rPr>
          <w:rFonts w:ascii="Times New Roman" w:hAnsi="Times New Roman" w:cs="Times New Roman"/>
        </w:rPr>
        <w:t xml:space="preserve">to offer a </w:t>
      </w:r>
      <w:r w:rsidR="00636B22" w:rsidRPr="00D73EE9">
        <w:rPr>
          <w:rFonts w:ascii="Times New Roman" w:hAnsi="Times New Roman" w:cs="Times New Roman"/>
        </w:rPr>
        <w:lastRenderedPageBreak/>
        <w:t>much more valuable yardstick than ‘teaching intensity’.</w:t>
      </w:r>
    </w:p>
    <w:p w14:paraId="16D4DBF6" w14:textId="503A06F7" w:rsidR="00636B22" w:rsidRPr="000314FC" w:rsidRDefault="00745A8F" w:rsidP="00636B22">
      <w:pPr>
        <w:widowControl w:val="0"/>
        <w:tabs>
          <w:tab w:val="left" w:pos="220"/>
          <w:tab w:val="left" w:pos="720"/>
        </w:tabs>
        <w:autoSpaceDE w:val="0"/>
        <w:autoSpaceDN w:val="0"/>
        <w:adjustRightInd w:val="0"/>
        <w:spacing w:line="360" w:lineRule="auto"/>
        <w:jc w:val="both"/>
        <w:rPr>
          <w:rFonts w:ascii="Times New Roman" w:hAnsi="Times New Roman" w:cs="Times New Roman"/>
        </w:rPr>
      </w:pPr>
      <w:r>
        <w:rPr>
          <w:rFonts w:ascii="Times New Roman" w:hAnsi="Times New Roman" w:cs="Times New Roman"/>
        </w:rPr>
        <w:t>7</w:t>
      </w:r>
      <w:r w:rsidR="00912F35">
        <w:rPr>
          <w:rFonts w:ascii="Times New Roman" w:hAnsi="Times New Roman" w:cs="Times New Roman"/>
        </w:rPr>
        <w:t xml:space="preserve">. </w:t>
      </w:r>
      <w:r w:rsidR="0010652E">
        <w:rPr>
          <w:rFonts w:ascii="Times New Roman" w:hAnsi="Times New Roman" w:cs="Times New Roman"/>
        </w:rPr>
        <w:t>C</w:t>
      </w:r>
      <w:r w:rsidR="00C74987" w:rsidRPr="00EC1C69">
        <w:rPr>
          <w:rFonts w:ascii="Times New Roman" w:hAnsi="Times New Roman" w:cs="Times New Roman"/>
        </w:rPr>
        <w:t>ross-national UK compari</w:t>
      </w:r>
      <w:r w:rsidR="00D73EE9" w:rsidRPr="00EC1C69">
        <w:rPr>
          <w:rFonts w:ascii="Times New Roman" w:hAnsi="Times New Roman" w:cs="Times New Roman"/>
        </w:rPr>
        <w:t>son of HE policy</w:t>
      </w:r>
      <w:r w:rsidR="00C74987" w:rsidRPr="00EC1C69">
        <w:rPr>
          <w:rFonts w:ascii="Times New Roman" w:hAnsi="Times New Roman" w:cs="Times New Roman"/>
        </w:rPr>
        <w:t xml:space="preserve"> raises the question of whether</w:t>
      </w:r>
      <w:r w:rsidR="00636B22" w:rsidRPr="00EC1C69">
        <w:rPr>
          <w:rFonts w:ascii="Times New Roman" w:hAnsi="Times New Roman" w:cs="Times New Roman"/>
        </w:rPr>
        <w:t xml:space="preserve"> TEF </w:t>
      </w:r>
      <w:r w:rsidR="00C74987" w:rsidRPr="00EC1C69">
        <w:rPr>
          <w:rFonts w:ascii="Times New Roman" w:hAnsi="Times New Roman" w:cs="Times New Roman"/>
        </w:rPr>
        <w:t>is in fact the most effective available</w:t>
      </w:r>
      <w:r w:rsidR="00636B22" w:rsidRPr="00EC1C69">
        <w:rPr>
          <w:rFonts w:ascii="Times New Roman" w:hAnsi="Times New Roman" w:cs="Times New Roman"/>
        </w:rPr>
        <w:t xml:space="preserve"> vehicle for driving up teaching standards and ensuring value of money. Scottish HEIs use an annual internal audit each year, which addresses quality assurance and enhancement, the results of which are submitted to Scottish Funding Council. It uses the external assessors, empowers the student voice, and allows a dialogue between reviewers, staff and students over methods of teaching and the best use of resources for the benefit of students.</w:t>
      </w:r>
      <w:r w:rsidR="00C74987" w:rsidRPr="00EC1C69">
        <w:rPr>
          <w:rFonts w:ascii="Times New Roman" w:hAnsi="Times New Roman" w:cs="Times New Roman"/>
        </w:rPr>
        <w:t xml:space="preserve">  Our consultations with Scottish RHS Fellows suggests that this system commands wide respect in the sector.</w:t>
      </w:r>
      <w:r w:rsidR="00636B22" w:rsidRPr="00BC3466">
        <w:rPr>
          <w:rFonts w:ascii="Times New Roman" w:hAnsi="Times New Roman" w:cs="Times New Roman"/>
        </w:rPr>
        <w:t xml:space="preserve">  Such an alternative model addresses teaching and learning directly, and largely avoids the proxy metrics central to TEF2. </w:t>
      </w:r>
    </w:p>
    <w:p w14:paraId="22B1350E" w14:textId="77777777" w:rsidR="000C1D11" w:rsidRPr="00BC3466" w:rsidRDefault="000C1D11" w:rsidP="00295642">
      <w:pPr>
        <w:spacing w:line="360" w:lineRule="auto"/>
        <w:jc w:val="both"/>
        <w:rPr>
          <w:rFonts w:ascii="Times New Roman" w:hAnsi="Times New Roman" w:cs="Times New Roman"/>
        </w:rPr>
      </w:pPr>
    </w:p>
    <w:p w14:paraId="5BCF230A" w14:textId="77777777" w:rsidR="001A7368" w:rsidRPr="00BC3466" w:rsidRDefault="001A7368" w:rsidP="00295642">
      <w:pPr>
        <w:spacing w:line="360" w:lineRule="auto"/>
        <w:jc w:val="both"/>
        <w:rPr>
          <w:rFonts w:ascii="Times New Roman" w:hAnsi="Times New Roman" w:cs="Times New Roman"/>
        </w:rPr>
      </w:pPr>
    </w:p>
    <w:p w14:paraId="40DD009D" w14:textId="40D1954B" w:rsidR="00F10A41" w:rsidRPr="00DD41BA" w:rsidRDefault="00912F35" w:rsidP="00295642">
      <w:pPr>
        <w:spacing w:line="360" w:lineRule="auto"/>
        <w:jc w:val="both"/>
        <w:rPr>
          <w:rFonts w:ascii="Times New Roman" w:hAnsi="Times New Roman" w:cs="Times New Roman"/>
          <w:u w:val="single"/>
        </w:rPr>
      </w:pPr>
      <w:r>
        <w:rPr>
          <w:rFonts w:ascii="Times New Roman" w:hAnsi="Times New Roman" w:cs="Times New Roman"/>
          <w:u w:val="single"/>
        </w:rPr>
        <w:t>IV</w:t>
      </w:r>
      <w:r w:rsidR="006010E0" w:rsidRPr="00DD41BA">
        <w:rPr>
          <w:rFonts w:ascii="Times New Roman" w:hAnsi="Times New Roman" w:cs="Times New Roman"/>
          <w:u w:val="single"/>
        </w:rPr>
        <w:t xml:space="preserve">. </w:t>
      </w:r>
      <w:r w:rsidR="00F10A41" w:rsidRPr="00DD41BA">
        <w:rPr>
          <w:rFonts w:ascii="Times New Roman" w:hAnsi="Times New Roman" w:cs="Times New Roman"/>
          <w:u w:val="single"/>
        </w:rPr>
        <w:t>Senior management pay in universities</w:t>
      </w:r>
    </w:p>
    <w:p w14:paraId="711C6639" w14:textId="4096E6D3" w:rsidR="00F10A41" w:rsidRPr="00EC1C69" w:rsidRDefault="00912F35" w:rsidP="00295642">
      <w:pPr>
        <w:spacing w:line="360" w:lineRule="auto"/>
        <w:jc w:val="both"/>
        <w:rPr>
          <w:rFonts w:ascii="Times New Roman" w:hAnsi="Times New Roman" w:cs="Times New Roman"/>
        </w:rPr>
      </w:pPr>
      <w:r>
        <w:rPr>
          <w:rFonts w:ascii="Times New Roman" w:hAnsi="Times New Roman" w:cs="Times New Roman"/>
        </w:rPr>
        <w:t xml:space="preserve">1. </w:t>
      </w:r>
      <w:r w:rsidR="00FB5D65" w:rsidRPr="00DD41BA">
        <w:rPr>
          <w:rFonts w:ascii="Times New Roman" w:hAnsi="Times New Roman" w:cs="Times New Roman"/>
        </w:rPr>
        <w:t xml:space="preserve">The levels of </w:t>
      </w:r>
      <w:r w:rsidR="00974A08" w:rsidRPr="00DD41BA">
        <w:rPr>
          <w:rFonts w:ascii="Times New Roman" w:hAnsi="Times New Roman" w:cs="Times New Roman"/>
        </w:rPr>
        <w:t xml:space="preserve">senior management </w:t>
      </w:r>
      <w:r w:rsidR="00FB5D65" w:rsidRPr="00EC1C69">
        <w:rPr>
          <w:rFonts w:ascii="Times New Roman" w:hAnsi="Times New Roman" w:cs="Times New Roman"/>
        </w:rPr>
        <w:t>remun</w:t>
      </w:r>
      <w:r w:rsidR="00F10A41" w:rsidRPr="00EC1C69">
        <w:rPr>
          <w:rFonts w:ascii="Times New Roman" w:hAnsi="Times New Roman" w:cs="Times New Roman"/>
        </w:rPr>
        <w:t>e</w:t>
      </w:r>
      <w:r w:rsidR="006010E0" w:rsidRPr="00EC1C69">
        <w:rPr>
          <w:rFonts w:ascii="Times New Roman" w:hAnsi="Times New Roman" w:cs="Times New Roman"/>
        </w:rPr>
        <w:t>ration and their</w:t>
      </w:r>
      <w:r w:rsidR="00F10A41" w:rsidRPr="00EC1C69">
        <w:rPr>
          <w:rFonts w:ascii="Times New Roman" w:hAnsi="Times New Roman" w:cs="Times New Roman"/>
        </w:rPr>
        <w:t xml:space="preserve"> </w:t>
      </w:r>
      <w:r w:rsidR="00974A08" w:rsidRPr="00EC1C69">
        <w:rPr>
          <w:rFonts w:ascii="Times New Roman" w:hAnsi="Times New Roman" w:cs="Times New Roman"/>
        </w:rPr>
        <w:t xml:space="preserve">potential </w:t>
      </w:r>
      <w:r w:rsidR="00F10A41" w:rsidRPr="00EC1C69">
        <w:rPr>
          <w:rFonts w:ascii="Times New Roman" w:hAnsi="Times New Roman" w:cs="Times New Roman"/>
        </w:rPr>
        <w:t>links to value for money are b</w:t>
      </w:r>
      <w:r w:rsidR="00974A08" w:rsidRPr="00EC1C69">
        <w:rPr>
          <w:rFonts w:ascii="Times New Roman" w:hAnsi="Times New Roman" w:cs="Times New Roman"/>
        </w:rPr>
        <w:t>eyond the remit of the Society</w:t>
      </w:r>
      <w:r w:rsidR="000B2CA8" w:rsidRPr="00EC1C69">
        <w:rPr>
          <w:rFonts w:ascii="Times New Roman" w:hAnsi="Times New Roman" w:cs="Times New Roman"/>
        </w:rPr>
        <w:t>’s Education Policy Committee</w:t>
      </w:r>
      <w:r w:rsidR="00F10A41" w:rsidRPr="00EC1C69">
        <w:rPr>
          <w:rFonts w:ascii="Times New Roman" w:hAnsi="Times New Roman" w:cs="Times New Roman"/>
        </w:rPr>
        <w:t>.</w:t>
      </w:r>
    </w:p>
    <w:p w14:paraId="698A7AA3" w14:textId="77777777" w:rsidR="00F10A41" w:rsidRPr="00BC3466" w:rsidRDefault="00F10A41" w:rsidP="00295642">
      <w:pPr>
        <w:spacing w:line="360" w:lineRule="auto"/>
        <w:jc w:val="both"/>
        <w:rPr>
          <w:rFonts w:ascii="Times New Roman" w:hAnsi="Times New Roman" w:cs="Times New Roman"/>
        </w:rPr>
      </w:pPr>
    </w:p>
    <w:p w14:paraId="008FA8A5" w14:textId="77777777" w:rsidR="00F10A41" w:rsidRPr="00BC3466" w:rsidRDefault="00F10A41" w:rsidP="00295642">
      <w:pPr>
        <w:spacing w:line="360" w:lineRule="auto"/>
        <w:jc w:val="both"/>
        <w:rPr>
          <w:rFonts w:ascii="Times New Roman" w:hAnsi="Times New Roman" w:cs="Times New Roman"/>
        </w:rPr>
      </w:pPr>
    </w:p>
    <w:p w14:paraId="0C159F3E" w14:textId="4E0C1538" w:rsidR="00E2095F" w:rsidRPr="006010E0" w:rsidRDefault="00912F35" w:rsidP="00295642">
      <w:pPr>
        <w:spacing w:line="360" w:lineRule="auto"/>
        <w:jc w:val="both"/>
        <w:rPr>
          <w:rFonts w:ascii="Times New Roman" w:hAnsi="Times New Roman" w:cs="Times New Roman"/>
          <w:u w:val="single"/>
        </w:rPr>
      </w:pPr>
      <w:r>
        <w:rPr>
          <w:rFonts w:ascii="Times New Roman" w:hAnsi="Times New Roman" w:cs="Times New Roman"/>
          <w:u w:val="single"/>
        </w:rPr>
        <w:t>V</w:t>
      </w:r>
      <w:r w:rsidR="006010E0" w:rsidRPr="006010E0">
        <w:rPr>
          <w:rFonts w:ascii="Times New Roman" w:hAnsi="Times New Roman" w:cs="Times New Roman"/>
          <w:u w:val="single"/>
        </w:rPr>
        <w:t xml:space="preserve">. </w:t>
      </w:r>
      <w:r w:rsidR="00F10A41" w:rsidRPr="006010E0">
        <w:rPr>
          <w:rFonts w:ascii="Times New Roman" w:hAnsi="Times New Roman" w:cs="Times New Roman"/>
          <w:u w:val="single"/>
        </w:rPr>
        <w:t>Social justice in HE and support for disadvantaged students</w:t>
      </w:r>
    </w:p>
    <w:p w14:paraId="58BE5B3B" w14:textId="7822128D" w:rsidR="000B2CA8" w:rsidRDefault="00912F35" w:rsidP="0076061E">
      <w:pPr>
        <w:spacing w:line="360" w:lineRule="auto"/>
        <w:jc w:val="both"/>
        <w:rPr>
          <w:rFonts w:ascii="Times New Roman" w:hAnsi="Times New Roman" w:cs="Times New Roman"/>
          <w:color w:val="FF0000"/>
        </w:rPr>
      </w:pPr>
      <w:r>
        <w:rPr>
          <w:rFonts w:ascii="Times New Roman" w:hAnsi="Times New Roman" w:cs="Times New Roman"/>
        </w:rPr>
        <w:t xml:space="preserve">1. </w:t>
      </w:r>
      <w:r w:rsidR="00F41321" w:rsidRPr="004151B1">
        <w:rPr>
          <w:rFonts w:ascii="Times New Roman" w:hAnsi="Times New Roman" w:cs="Times New Roman"/>
        </w:rPr>
        <w:t>The Society is ful</w:t>
      </w:r>
      <w:r w:rsidR="00755332" w:rsidRPr="004151B1">
        <w:rPr>
          <w:rFonts w:ascii="Times New Roman" w:hAnsi="Times New Roman" w:cs="Times New Roman"/>
        </w:rPr>
        <w:t>l</w:t>
      </w:r>
      <w:r w:rsidR="00F41321" w:rsidRPr="004151B1">
        <w:rPr>
          <w:rFonts w:ascii="Times New Roman" w:hAnsi="Times New Roman" w:cs="Times New Roman"/>
        </w:rPr>
        <w:t xml:space="preserve">y committed to this agenda. </w:t>
      </w:r>
      <w:r w:rsidR="000C1D11" w:rsidRPr="004151B1">
        <w:rPr>
          <w:rFonts w:ascii="Times New Roman" w:hAnsi="Times New Roman" w:cs="Times New Roman"/>
        </w:rPr>
        <w:t>A beneficial by-product</w:t>
      </w:r>
      <w:r w:rsidR="00F41321" w:rsidRPr="004151B1">
        <w:rPr>
          <w:rFonts w:ascii="Times New Roman" w:hAnsi="Times New Roman" w:cs="Times New Roman"/>
        </w:rPr>
        <w:t xml:space="preserve"> of the introduction of £9000 fees in 2012 was </w:t>
      </w:r>
      <w:r w:rsidR="00755332" w:rsidRPr="004151B1">
        <w:rPr>
          <w:rFonts w:ascii="Times New Roman" w:hAnsi="Times New Roman" w:cs="Times New Roman"/>
        </w:rPr>
        <w:t xml:space="preserve">the access agreement by </w:t>
      </w:r>
      <w:r w:rsidR="00F41321" w:rsidRPr="004151B1">
        <w:rPr>
          <w:rFonts w:ascii="Times New Roman" w:hAnsi="Times New Roman" w:cs="Times New Roman"/>
        </w:rPr>
        <w:t xml:space="preserve">universities to </w:t>
      </w:r>
      <w:r w:rsidR="00755332" w:rsidRPr="004151B1">
        <w:rPr>
          <w:rFonts w:ascii="Times New Roman" w:hAnsi="Times New Roman" w:cs="Times New Roman"/>
        </w:rPr>
        <w:t>widen</w:t>
      </w:r>
      <w:r w:rsidR="000C1D11" w:rsidRPr="004151B1">
        <w:rPr>
          <w:rFonts w:ascii="Times New Roman" w:hAnsi="Times New Roman" w:cs="Times New Roman"/>
        </w:rPr>
        <w:t xml:space="preserve"> participation</w:t>
      </w:r>
      <w:r w:rsidR="00F41321" w:rsidRPr="004151B1">
        <w:rPr>
          <w:rFonts w:ascii="Times New Roman" w:hAnsi="Times New Roman" w:cs="Times New Roman"/>
        </w:rPr>
        <w:t xml:space="preserve">, and the split metrics in TEF2 </w:t>
      </w:r>
      <w:r w:rsidR="000C1D11" w:rsidRPr="004151B1">
        <w:rPr>
          <w:rFonts w:ascii="Times New Roman" w:hAnsi="Times New Roman" w:cs="Times New Roman"/>
        </w:rPr>
        <w:t>looked at variations in core</w:t>
      </w:r>
      <w:r w:rsidR="00755332" w:rsidRPr="004151B1">
        <w:rPr>
          <w:rFonts w:ascii="Times New Roman" w:hAnsi="Times New Roman" w:cs="Times New Roman"/>
        </w:rPr>
        <w:t xml:space="preserve"> metrics by gender, disability</w:t>
      </w:r>
      <w:r w:rsidR="000C1D11" w:rsidRPr="004151B1">
        <w:rPr>
          <w:rFonts w:ascii="Times New Roman" w:hAnsi="Times New Roman" w:cs="Times New Roman"/>
        </w:rPr>
        <w:t xml:space="preserve"> ethnicity and age, among others, with the aim of encouraging ‘providers’ to identity and address these inequities among students. </w:t>
      </w:r>
      <w:r w:rsidR="00EC1C69">
        <w:rPr>
          <w:rFonts w:ascii="Times New Roman" w:hAnsi="Times New Roman" w:cs="Times New Roman"/>
        </w:rPr>
        <w:t>This is part of a much broad agenda for social justice in HE, which needs con</w:t>
      </w:r>
      <w:r w:rsidR="006D6534">
        <w:rPr>
          <w:rFonts w:ascii="Times New Roman" w:hAnsi="Times New Roman" w:cs="Times New Roman"/>
        </w:rPr>
        <w:t>c</w:t>
      </w:r>
      <w:r w:rsidR="00EC1C69">
        <w:rPr>
          <w:rFonts w:ascii="Times New Roman" w:hAnsi="Times New Roman" w:cs="Times New Roman"/>
        </w:rPr>
        <w:t xml:space="preserve">erted action from policy-makers, HEIs and </w:t>
      </w:r>
      <w:r w:rsidR="006D6534">
        <w:rPr>
          <w:rFonts w:ascii="Times New Roman" w:hAnsi="Times New Roman" w:cs="Times New Roman"/>
        </w:rPr>
        <w:t xml:space="preserve">disciplinary bodies such as the Society. </w:t>
      </w:r>
    </w:p>
    <w:p w14:paraId="3F8D5E42" w14:textId="4E2EACA0" w:rsidR="00A90602" w:rsidRDefault="00912F35" w:rsidP="00912F35">
      <w:pPr>
        <w:spacing w:line="360" w:lineRule="auto"/>
        <w:jc w:val="both"/>
        <w:rPr>
          <w:rFonts w:ascii="Times New Roman" w:hAnsi="Times New Roman" w:cs="Times New Roman"/>
          <w:color w:val="191919"/>
        </w:rPr>
      </w:pPr>
      <w:r>
        <w:rPr>
          <w:rFonts w:ascii="Times New Roman" w:hAnsi="Times New Roman" w:cs="Times New Roman"/>
        </w:rPr>
        <w:t xml:space="preserve">2. </w:t>
      </w:r>
      <w:r w:rsidR="00E0462D" w:rsidRPr="004151B1">
        <w:rPr>
          <w:rFonts w:ascii="Times New Roman" w:hAnsi="Times New Roman" w:cs="Times New Roman"/>
        </w:rPr>
        <w:t>History at university has</w:t>
      </w:r>
      <w:r w:rsidR="009E32DA" w:rsidRPr="004151B1">
        <w:rPr>
          <w:rFonts w:ascii="Times New Roman" w:hAnsi="Times New Roman" w:cs="Times New Roman"/>
        </w:rPr>
        <w:t xml:space="preserve"> conventionally had</w:t>
      </w:r>
      <w:r w:rsidR="00E0462D" w:rsidRPr="004151B1">
        <w:rPr>
          <w:rFonts w:ascii="Times New Roman" w:hAnsi="Times New Roman" w:cs="Times New Roman"/>
        </w:rPr>
        <w:t xml:space="preserve"> </w:t>
      </w:r>
      <w:r w:rsidR="009E32DA" w:rsidRPr="004151B1">
        <w:rPr>
          <w:rFonts w:ascii="Times New Roman" w:hAnsi="Times New Roman" w:cs="Times New Roman"/>
        </w:rPr>
        <w:t xml:space="preserve">relatively </w:t>
      </w:r>
      <w:r w:rsidR="00E0462D" w:rsidRPr="004151B1">
        <w:rPr>
          <w:rFonts w:ascii="Times New Roman" w:hAnsi="Times New Roman" w:cs="Times New Roman"/>
        </w:rPr>
        <w:t>little appeal for white workin</w:t>
      </w:r>
      <w:r w:rsidR="00755332" w:rsidRPr="004151B1">
        <w:rPr>
          <w:rFonts w:ascii="Times New Roman" w:hAnsi="Times New Roman" w:cs="Times New Roman"/>
        </w:rPr>
        <w:t>g cla</w:t>
      </w:r>
      <w:r w:rsidR="009E32DA" w:rsidRPr="004151B1">
        <w:rPr>
          <w:rFonts w:ascii="Times New Roman" w:hAnsi="Times New Roman" w:cs="Times New Roman"/>
        </w:rPr>
        <w:t xml:space="preserve">ss males and </w:t>
      </w:r>
      <w:r w:rsidR="000B2CA8" w:rsidRPr="00EC1C69">
        <w:rPr>
          <w:rFonts w:ascii="Times New Roman" w:hAnsi="Times New Roman" w:cs="Times New Roman"/>
        </w:rPr>
        <w:t>Black, Asian and Minority Ethnic (</w:t>
      </w:r>
      <w:r w:rsidR="009E32DA" w:rsidRPr="00EC1C69">
        <w:rPr>
          <w:rFonts w:ascii="Times New Roman" w:hAnsi="Times New Roman" w:cs="Times New Roman"/>
        </w:rPr>
        <w:t>B</w:t>
      </w:r>
      <w:r w:rsidR="000B2CA8" w:rsidRPr="00EC1C69">
        <w:rPr>
          <w:rFonts w:ascii="Times New Roman" w:hAnsi="Times New Roman" w:cs="Times New Roman"/>
        </w:rPr>
        <w:t>A</w:t>
      </w:r>
      <w:r w:rsidR="009E32DA" w:rsidRPr="00EC1C69">
        <w:rPr>
          <w:rFonts w:ascii="Times New Roman" w:hAnsi="Times New Roman" w:cs="Times New Roman"/>
        </w:rPr>
        <w:t>ME</w:t>
      </w:r>
      <w:r w:rsidR="000B2CA8" w:rsidRPr="00EC1C69">
        <w:rPr>
          <w:rFonts w:ascii="Times New Roman" w:hAnsi="Times New Roman" w:cs="Times New Roman"/>
        </w:rPr>
        <w:t>)</w:t>
      </w:r>
      <w:r w:rsidR="009E32DA" w:rsidRPr="00EC1C69">
        <w:rPr>
          <w:rFonts w:ascii="Times New Roman" w:hAnsi="Times New Roman" w:cs="Times New Roman"/>
        </w:rPr>
        <w:t xml:space="preserve"> students.  E</w:t>
      </w:r>
      <w:r w:rsidR="00755332" w:rsidRPr="00EC1C69">
        <w:rPr>
          <w:rFonts w:ascii="Times New Roman" w:hAnsi="Times New Roman" w:cs="Times New Roman"/>
        </w:rPr>
        <w:t>xplanatory fa</w:t>
      </w:r>
      <w:r w:rsidR="00FB5D65" w:rsidRPr="00EC1C69">
        <w:rPr>
          <w:rFonts w:ascii="Times New Roman" w:hAnsi="Times New Roman" w:cs="Times New Roman"/>
        </w:rPr>
        <w:t xml:space="preserve">ctors for the latter </w:t>
      </w:r>
      <w:r w:rsidR="000B2CA8" w:rsidRPr="00EC1C69">
        <w:rPr>
          <w:rFonts w:ascii="Times New Roman" w:hAnsi="Times New Roman" w:cs="Times New Roman"/>
        </w:rPr>
        <w:t xml:space="preserve">failure </w:t>
      </w:r>
      <w:r w:rsidR="00FB5D65" w:rsidRPr="00EC1C69">
        <w:rPr>
          <w:rFonts w:ascii="Times New Roman" w:hAnsi="Times New Roman" w:cs="Times New Roman"/>
        </w:rPr>
        <w:t xml:space="preserve">include </w:t>
      </w:r>
      <w:r w:rsidR="00755332" w:rsidRPr="00EC1C69">
        <w:rPr>
          <w:rFonts w:ascii="Times New Roman" w:hAnsi="Times New Roman" w:cs="Times New Roman"/>
        </w:rPr>
        <w:t>the Eurocentric curriculum in many HEIs, the attainment</w:t>
      </w:r>
      <w:r w:rsidR="000B2CA8" w:rsidRPr="00EC1C69">
        <w:rPr>
          <w:rFonts w:ascii="Times New Roman" w:hAnsi="Times New Roman" w:cs="Times New Roman"/>
        </w:rPr>
        <w:t xml:space="preserve"> gap in degree outcomes, and a longstanding</w:t>
      </w:r>
      <w:r w:rsidR="00755332" w:rsidRPr="00EC1C69">
        <w:rPr>
          <w:rFonts w:ascii="Times New Roman" w:hAnsi="Times New Roman" w:cs="Times New Roman"/>
        </w:rPr>
        <w:t xml:space="preserve"> preference for vocational subjects, </w:t>
      </w:r>
      <w:r w:rsidR="000B2CA8" w:rsidRPr="00EC1C69">
        <w:rPr>
          <w:rFonts w:ascii="Times New Roman" w:hAnsi="Times New Roman" w:cs="Times New Roman"/>
        </w:rPr>
        <w:t xml:space="preserve">a subject choice </w:t>
      </w:r>
      <w:r w:rsidR="00755332" w:rsidRPr="00EC1C69">
        <w:rPr>
          <w:rFonts w:ascii="Times New Roman" w:hAnsi="Times New Roman" w:cs="Times New Roman"/>
        </w:rPr>
        <w:t>which overlooks the invaluable transferab</w:t>
      </w:r>
      <w:r w:rsidR="008C5625" w:rsidRPr="00EC1C69">
        <w:rPr>
          <w:rFonts w:ascii="Times New Roman" w:hAnsi="Times New Roman" w:cs="Times New Roman"/>
        </w:rPr>
        <w:t>le skills that a Humanities sub</w:t>
      </w:r>
      <w:r w:rsidR="00755332" w:rsidRPr="00EC1C69">
        <w:rPr>
          <w:rFonts w:ascii="Times New Roman" w:hAnsi="Times New Roman" w:cs="Times New Roman"/>
        </w:rPr>
        <w:t>jects inculcate. The Society is p</w:t>
      </w:r>
      <w:r w:rsidR="009E32DA" w:rsidRPr="00EC1C69">
        <w:rPr>
          <w:rFonts w:ascii="Times New Roman" w:hAnsi="Times New Roman" w:cs="Times New Roman"/>
        </w:rPr>
        <w:t xml:space="preserve">laying its own part in </w:t>
      </w:r>
      <w:r w:rsidR="0076061E" w:rsidRPr="00EC1C69">
        <w:rPr>
          <w:rFonts w:ascii="Times New Roman" w:hAnsi="Times New Roman" w:cs="Times New Roman"/>
        </w:rPr>
        <w:t>addressing the severe under-representation of B</w:t>
      </w:r>
      <w:r w:rsidR="000B2CA8" w:rsidRPr="00EC1C69">
        <w:rPr>
          <w:rFonts w:ascii="Times New Roman" w:hAnsi="Times New Roman" w:cs="Times New Roman"/>
        </w:rPr>
        <w:t>A</w:t>
      </w:r>
      <w:r w:rsidR="0076061E" w:rsidRPr="00EC1C69">
        <w:rPr>
          <w:rFonts w:ascii="Times New Roman" w:hAnsi="Times New Roman" w:cs="Times New Roman"/>
        </w:rPr>
        <w:t xml:space="preserve">ME historians (both students and staff) in HEIs, </w:t>
      </w:r>
      <w:r w:rsidR="000B2CA8" w:rsidRPr="00EC1C69">
        <w:rPr>
          <w:rFonts w:ascii="Times New Roman" w:hAnsi="Times New Roman" w:cs="Times New Roman"/>
        </w:rPr>
        <w:t>by setting up a race equality</w:t>
      </w:r>
      <w:r w:rsidR="00F558F0">
        <w:rPr>
          <w:rFonts w:ascii="Times New Roman" w:hAnsi="Times New Roman" w:cs="Times New Roman"/>
        </w:rPr>
        <w:t xml:space="preserve"> working group (May </w:t>
      </w:r>
      <w:r w:rsidR="009E32DA" w:rsidRPr="00EC1C69">
        <w:rPr>
          <w:rFonts w:ascii="Times New Roman" w:hAnsi="Times New Roman" w:cs="Times New Roman"/>
        </w:rPr>
        <w:t>2017)</w:t>
      </w:r>
      <w:r w:rsidR="000B2CA8" w:rsidRPr="00EC1C69">
        <w:rPr>
          <w:rFonts w:ascii="Times New Roman" w:hAnsi="Times New Roman" w:cs="Times New Roman"/>
        </w:rPr>
        <w:t xml:space="preserve">.  This working </w:t>
      </w:r>
      <w:r w:rsidR="000B2CA8" w:rsidRPr="00EC1C69">
        <w:rPr>
          <w:rFonts w:ascii="Times New Roman" w:hAnsi="Times New Roman" w:cs="Times New Roman"/>
        </w:rPr>
        <w:lastRenderedPageBreak/>
        <w:t>group</w:t>
      </w:r>
      <w:r w:rsidR="0076061E" w:rsidRPr="00EC1C69">
        <w:rPr>
          <w:rFonts w:ascii="Times New Roman" w:hAnsi="Times New Roman" w:cs="Times New Roman"/>
        </w:rPr>
        <w:t xml:space="preserve"> will seek to provide university departments and other institutions involved in historical research and dissemination with robust data on the current state of the discipline with regard to race and ethnicity and to create a platform for effecting meaningful change.</w:t>
      </w:r>
      <w:r w:rsidR="00A90602" w:rsidRPr="00EC1C69">
        <w:rPr>
          <w:rFonts w:ascii="Times New Roman" w:hAnsi="Times New Roman" w:cs="Times New Roman"/>
        </w:rPr>
        <w:t xml:space="preserve">  The working group plans to publish a report on race equality in  the discipline of History in UK HE in October 2018.</w:t>
      </w:r>
      <w:r w:rsidR="0076061E" w:rsidRPr="00EC1C69">
        <w:rPr>
          <w:rFonts w:ascii="Times New Roman" w:hAnsi="Times New Roman" w:cs="Times New Roman"/>
        </w:rPr>
        <w:t xml:space="preserve">  </w:t>
      </w:r>
    </w:p>
    <w:p w14:paraId="316373DA" w14:textId="6FA14446" w:rsidR="001A7368" w:rsidRPr="004151B1" w:rsidRDefault="00912F35" w:rsidP="00912F35">
      <w:pPr>
        <w:spacing w:line="360" w:lineRule="auto"/>
        <w:jc w:val="both"/>
        <w:rPr>
          <w:rFonts w:ascii="Times New Roman" w:hAnsi="Times New Roman" w:cs="Times New Roman"/>
        </w:rPr>
      </w:pPr>
      <w:r>
        <w:rPr>
          <w:rFonts w:ascii="Times New Roman" w:hAnsi="Times New Roman" w:cs="Times New Roman"/>
        </w:rPr>
        <w:t xml:space="preserve">3. </w:t>
      </w:r>
      <w:r w:rsidR="00A46B0A" w:rsidRPr="0076061E">
        <w:rPr>
          <w:rFonts w:ascii="Times New Roman" w:hAnsi="Times New Roman" w:cs="Times New Roman"/>
        </w:rPr>
        <w:t>Gender</w:t>
      </w:r>
      <w:r w:rsidR="00A46B0A" w:rsidRPr="004151B1">
        <w:rPr>
          <w:rFonts w:ascii="Times New Roman" w:hAnsi="Times New Roman" w:cs="Times New Roman"/>
        </w:rPr>
        <w:t xml:space="preserve"> equality is also a high </w:t>
      </w:r>
      <w:r w:rsidR="00A46B0A" w:rsidRPr="00EC1C69">
        <w:rPr>
          <w:rFonts w:ascii="Times New Roman" w:hAnsi="Times New Roman" w:cs="Times New Roman"/>
        </w:rPr>
        <w:t>priority</w:t>
      </w:r>
      <w:r w:rsidR="00A90602" w:rsidRPr="00EC1C69">
        <w:rPr>
          <w:rFonts w:ascii="Times New Roman" w:hAnsi="Times New Roman" w:cs="Times New Roman"/>
        </w:rPr>
        <w:t xml:space="preserve"> for the HE sector</w:t>
      </w:r>
      <w:r w:rsidR="00A46B0A" w:rsidRPr="00EC1C69">
        <w:rPr>
          <w:rFonts w:ascii="Times New Roman" w:hAnsi="Times New Roman" w:cs="Times New Roman"/>
        </w:rPr>
        <w:t>. Our</w:t>
      </w:r>
      <w:r w:rsidR="00A46B0A" w:rsidRPr="004151B1">
        <w:rPr>
          <w:rFonts w:ascii="Times New Roman" w:hAnsi="Times New Roman" w:cs="Times New Roman"/>
        </w:rPr>
        <w:t xml:space="preserve"> report </w:t>
      </w:r>
      <w:r w:rsidR="006C120A" w:rsidRPr="004151B1">
        <w:rPr>
          <w:rFonts w:ascii="Times New Roman" w:hAnsi="Times New Roman" w:cs="Times New Roman"/>
          <w:i/>
        </w:rPr>
        <w:t xml:space="preserve">Gender Equality and Historians in Higher Education </w:t>
      </w:r>
      <w:r w:rsidR="006C120A" w:rsidRPr="004151B1">
        <w:rPr>
          <w:rFonts w:ascii="Times New Roman" w:hAnsi="Times New Roman" w:cs="Times New Roman"/>
        </w:rPr>
        <w:t xml:space="preserve">(2015) </w:t>
      </w:r>
      <w:r w:rsidR="00755332" w:rsidRPr="004151B1">
        <w:rPr>
          <w:rFonts w:ascii="Times New Roman" w:hAnsi="Times New Roman" w:cs="Times New Roman"/>
        </w:rPr>
        <w:t xml:space="preserve">has become an invaluable reference-point for history departments </w:t>
      </w:r>
      <w:r w:rsidR="00BC3466" w:rsidRPr="004151B1">
        <w:rPr>
          <w:rFonts w:ascii="Times New Roman" w:hAnsi="Times New Roman" w:cs="Times New Roman"/>
        </w:rPr>
        <w:t xml:space="preserve">in the UK which are </w:t>
      </w:r>
      <w:r w:rsidR="006C120A" w:rsidRPr="004151B1">
        <w:rPr>
          <w:rFonts w:ascii="Times New Roman" w:hAnsi="Times New Roman" w:cs="Times New Roman"/>
        </w:rPr>
        <w:t xml:space="preserve">reviewing their policies and procedures, and </w:t>
      </w:r>
      <w:r w:rsidR="00755332" w:rsidRPr="004151B1">
        <w:rPr>
          <w:rFonts w:ascii="Times New Roman" w:hAnsi="Times New Roman" w:cs="Times New Roman"/>
        </w:rPr>
        <w:t>we plan that the guid</w:t>
      </w:r>
      <w:r w:rsidR="009E32DA" w:rsidRPr="004151B1">
        <w:rPr>
          <w:rFonts w:ascii="Times New Roman" w:hAnsi="Times New Roman" w:cs="Times New Roman"/>
        </w:rPr>
        <w:t>e be revised and reissued in 2018</w:t>
      </w:r>
      <w:r w:rsidR="00755332" w:rsidRPr="004151B1">
        <w:rPr>
          <w:rFonts w:ascii="Times New Roman" w:hAnsi="Times New Roman" w:cs="Times New Roman"/>
        </w:rPr>
        <w:t xml:space="preserve">.  In it </w:t>
      </w:r>
      <w:r w:rsidR="006C120A" w:rsidRPr="004151B1">
        <w:rPr>
          <w:rFonts w:ascii="Times New Roman" w:hAnsi="Times New Roman" w:cs="Times New Roman"/>
        </w:rPr>
        <w:t xml:space="preserve">we touch upon student </w:t>
      </w:r>
      <w:r w:rsidR="00755332" w:rsidRPr="004151B1">
        <w:rPr>
          <w:rFonts w:ascii="Times New Roman" w:hAnsi="Times New Roman" w:cs="Times New Roman"/>
        </w:rPr>
        <w:t>in</w:t>
      </w:r>
      <w:r w:rsidR="006C120A" w:rsidRPr="004151B1">
        <w:rPr>
          <w:rFonts w:ascii="Times New Roman" w:hAnsi="Times New Roman" w:cs="Times New Roman"/>
        </w:rPr>
        <w:t>equality, inviting colleagues to investigate</w:t>
      </w:r>
      <w:r w:rsidR="009E32DA" w:rsidRPr="004151B1">
        <w:rPr>
          <w:rFonts w:ascii="Times New Roman" w:hAnsi="Times New Roman" w:cs="Times New Roman"/>
        </w:rPr>
        <w:t xml:space="preserve"> whether more men than women obtain</w:t>
      </w:r>
      <w:r w:rsidR="006C120A" w:rsidRPr="004151B1">
        <w:rPr>
          <w:rFonts w:ascii="Times New Roman" w:hAnsi="Times New Roman" w:cs="Times New Roman"/>
        </w:rPr>
        <w:t xml:space="preserve"> firsts or distinctions, </w:t>
      </w:r>
      <w:r w:rsidR="008C5625" w:rsidRPr="004151B1">
        <w:rPr>
          <w:rFonts w:ascii="Times New Roman" w:hAnsi="Times New Roman" w:cs="Times New Roman"/>
        </w:rPr>
        <w:t xml:space="preserve">and </w:t>
      </w:r>
      <w:r w:rsidR="006C120A" w:rsidRPr="004151B1">
        <w:rPr>
          <w:rFonts w:ascii="Times New Roman" w:hAnsi="Times New Roman" w:cs="Times New Roman"/>
        </w:rPr>
        <w:t>to reflect on their teaching practices in the light of invisible bias and</w:t>
      </w:r>
      <w:r w:rsidR="00755332" w:rsidRPr="004151B1">
        <w:rPr>
          <w:rFonts w:ascii="Times New Roman" w:hAnsi="Times New Roman" w:cs="Times New Roman"/>
        </w:rPr>
        <w:t xml:space="preserve"> stereotype threat. </w:t>
      </w:r>
      <w:r w:rsidR="009E32DA" w:rsidRPr="004151B1">
        <w:rPr>
          <w:rFonts w:ascii="Times New Roman" w:hAnsi="Times New Roman" w:cs="Times New Roman"/>
        </w:rPr>
        <w:t xml:space="preserve"> As increasing numbers of university historians apply for Athena SWAN certification, these gender disparities will (rightly) come under increasing scrutiny in our discipline.</w:t>
      </w:r>
    </w:p>
    <w:p w14:paraId="4F60478A" w14:textId="18C51C94" w:rsidR="001A7368" w:rsidRPr="004151B1" w:rsidRDefault="00912F35" w:rsidP="00912F35">
      <w:pPr>
        <w:spacing w:line="360" w:lineRule="auto"/>
        <w:jc w:val="both"/>
        <w:rPr>
          <w:rFonts w:ascii="Times New Roman" w:hAnsi="Times New Roman" w:cs="Times New Roman"/>
        </w:rPr>
      </w:pPr>
      <w:r>
        <w:rPr>
          <w:rFonts w:ascii="Times New Roman" w:hAnsi="Times New Roman" w:cs="Times New Roman"/>
        </w:rPr>
        <w:t xml:space="preserve">4. </w:t>
      </w:r>
      <w:r w:rsidR="00467671" w:rsidRPr="00B23655">
        <w:rPr>
          <w:rFonts w:ascii="Times New Roman" w:hAnsi="Times New Roman" w:cs="Times New Roman"/>
        </w:rPr>
        <w:t xml:space="preserve">We draw attention, too, to the calamitous decline in adult and part-time </w:t>
      </w:r>
      <w:r w:rsidR="00A90602" w:rsidRPr="00F558F0">
        <w:rPr>
          <w:rFonts w:ascii="Times New Roman" w:hAnsi="Times New Roman" w:cs="Times New Roman"/>
        </w:rPr>
        <w:t xml:space="preserve">higher education </w:t>
      </w:r>
      <w:r w:rsidR="00467671" w:rsidRPr="00F558F0">
        <w:rPr>
          <w:rFonts w:ascii="Times New Roman" w:hAnsi="Times New Roman" w:cs="Times New Roman"/>
        </w:rPr>
        <w:t>opportunities.  Over the last decade, numbers of part-time students have</w:t>
      </w:r>
      <w:r w:rsidR="00467671" w:rsidRPr="00B23655">
        <w:rPr>
          <w:rFonts w:ascii="Times New Roman" w:hAnsi="Times New Roman" w:cs="Times New Roman"/>
        </w:rPr>
        <w:t xml:space="preserve"> halved as a percentage of the student cohort and </w:t>
      </w:r>
      <w:r w:rsidR="00B23655" w:rsidRPr="00B23655">
        <w:rPr>
          <w:rFonts w:ascii="Times New Roman" w:hAnsi="Times New Roman" w:cs="Times New Roman"/>
        </w:rPr>
        <w:t xml:space="preserve">dropped </w:t>
      </w:r>
      <w:r w:rsidR="00B23655" w:rsidRPr="00B23655">
        <w:rPr>
          <w:rFonts w:ascii="Times New Roman" w:hAnsi="Times New Roman" w:cs="Times New Roman"/>
          <w:color w:val="464646"/>
        </w:rPr>
        <w:t>by more than half in numerical terms</w:t>
      </w:r>
      <w:r w:rsidR="00B23655">
        <w:rPr>
          <w:rFonts w:ascii="Times New Roman" w:hAnsi="Times New Roman" w:cs="Times New Roman"/>
          <w:color w:val="464646"/>
        </w:rPr>
        <w:t xml:space="preserve"> </w:t>
      </w:r>
      <w:r w:rsidR="00467671" w:rsidRPr="00F558F0">
        <w:rPr>
          <w:rFonts w:ascii="Times New Roman" w:hAnsi="Times New Roman" w:cs="Times New Roman"/>
        </w:rPr>
        <w:t>(</w:t>
      </w:r>
      <w:hyperlink r:id="rId12" w:history="1">
        <w:r w:rsidR="0071748D" w:rsidRPr="00F558F0">
          <w:rPr>
            <w:rStyle w:val="Hyperlink"/>
            <w:rFonts w:ascii="Times New Roman" w:hAnsi="Times New Roman" w:cs="Times New Roman"/>
            <w:color w:val="auto"/>
          </w:rPr>
          <w:t>https://www.gov.uk/government</w:t>
        </w:r>
        <w:r w:rsidR="00B23655" w:rsidRPr="00F558F0">
          <w:rPr>
            <w:rStyle w:val="Hyperlink"/>
            <w:rFonts w:ascii="Times New Roman" w:hAnsi="Times New Roman" w:cs="Times New Roman"/>
            <w:color w:val="auto"/>
          </w:rPr>
          <w:t>/statistics/participation-rates-in-higher-education-2006-to-2016</w:t>
        </w:r>
      </w:hyperlink>
      <w:r w:rsidR="00A90602" w:rsidRPr="00F558F0">
        <w:rPr>
          <w:rFonts w:ascii="Times New Roman" w:hAnsi="Times New Roman" w:cs="Times New Roman"/>
        </w:rPr>
        <w:t>).</w:t>
      </w:r>
      <w:r w:rsidR="00A90602">
        <w:rPr>
          <w:rFonts w:ascii="Times New Roman" w:hAnsi="Times New Roman" w:cs="Times New Roman"/>
        </w:rPr>
        <w:t xml:space="preserve"> This is a </w:t>
      </w:r>
      <w:r w:rsidR="00A90602" w:rsidRPr="00F558F0">
        <w:rPr>
          <w:rFonts w:ascii="Times New Roman" w:hAnsi="Times New Roman" w:cs="Times New Roman"/>
        </w:rPr>
        <w:t>consequence</w:t>
      </w:r>
      <w:r w:rsidR="00467671" w:rsidRPr="00F558F0">
        <w:rPr>
          <w:rFonts w:ascii="Times New Roman" w:hAnsi="Times New Roman" w:cs="Times New Roman"/>
        </w:rPr>
        <w:t xml:space="preserve"> of universities folding part-time provision into full-time courses as well as </w:t>
      </w:r>
      <w:r w:rsidR="009E32DA" w:rsidRPr="00F558F0">
        <w:rPr>
          <w:rFonts w:ascii="Times New Roman" w:hAnsi="Times New Roman" w:cs="Times New Roman"/>
        </w:rPr>
        <w:t>changes to funding regime.  T</w:t>
      </w:r>
      <w:r w:rsidR="00467671" w:rsidRPr="00F558F0">
        <w:rPr>
          <w:rFonts w:ascii="Times New Roman" w:hAnsi="Times New Roman" w:cs="Times New Roman"/>
        </w:rPr>
        <w:t xml:space="preserve">he </w:t>
      </w:r>
      <w:r w:rsidR="009B0DA3" w:rsidRPr="00F558F0">
        <w:rPr>
          <w:rFonts w:ascii="Times New Roman" w:hAnsi="Times New Roman" w:cs="Times New Roman"/>
        </w:rPr>
        <w:t>res</w:t>
      </w:r>
      <w:r w:rsidR="009E32DA" w:rsidRPr="00F558F0">
        <w:rPr>
          <w:rFonts w:ascii="Times New Roman" w:hAnsi="Times New Roman" w:cs="Times New Roman"/>
        </w:rPr>
        <w:t>ult is a serious threat to</w:t>
      </w:r>
      <w:r w:rsidR="009B0DA3" w:rsidRPr="00F558F0">
        <w:rPr>
          <w:rFonts w:ascii="Times New Roman" w:hAnsi="Times New Roman" w:cs="Times New Roman"/>
        </w:rPr>
        <w:t xml:space="preserve"> opportunities for ‘lifelong learning’ and the chances of retooling in a flexible labour m</w:t>
      </w:r>
      <w:r w:rsidR="00A90602" w:rsidRPr="00F558F0">
        <w:rPr>
          <w:rFonts w:ascii="Times New Roman" w:hAnsi="Times New Roman" w:cs="Times New Roman"/>
        </w:rPr>
        <w:t>arket.  In particular, current HE policy and funding</w:t>
      </w:r>
      <w:r w:rsidR="008C5625" w:rsidRPr="00F558F0">
        <w:rPr>
          <w:rFonts w:ascii="Times New Roman" w:hAnsi="Times New Roman" w:cs="Times New Roman"/>
        </w:rPr>
        <w:t xml:space="preserve"> makes</w:t>
      </w:r>
      <w:r w:rsidR="008C5625" w:rsidRPr="004151B1">
        <w:rPr>
          <w:rFonts w:ascii="Times New Roman" w:hAnsi="Times New Roman" w:cs="Times New Roman"/>
        </w:rPr>
        <w:t xml:space="preserve"> re-entering ed</w:t>
      </w:r>
      <w:r w:rsidR="009B0DA3" w:rsidRPr="004151B1">
        <w:rPr>
          <w:rFonts w:ascii="Times New Roman" w:hAnsi="Times New Roman" w:cs="Times New Roman"/>
        </w:rPr>
        <w:t>ucation for those with full-time jobs or caring responsibiliti</w:t>
      </w:r>
      <w:r w:rsidR="009E32DA" w:rsidRPr="004151B1">
        <w:rPr>
          <w:rFonts w:ascii="Times New Roman" w:hAnsi="Times New Roman" w:cs="Times New Roman"/>
        </w:rPr>
        <w:t>es all the more difficult.  G</w:t>
      </w:r>
      <w:r w:rsidR="009B0DA3" w:rsidRPr="004151B1">
        <w:rPr>
          <w:rFonts w:ascii="Times New Roman" w:hAnsi="Times New Roman" w:cs="Times New Roman"/>
        </w:rPr>
        <w:t>iven the predicted expansion of the workforce as people’s working lives expand, this decline in provision needs addre</w:t>
      </w:r>
      <w:r w:rsidR="00925C5F" w:rsidRPr="004151B1">
        <w:rPr>
          <w:rFonts w:ascii="Times New Roman" w:hAnsi="Times New Roman" w:cs="Times New Roman"/>
        </w:rPr>
        <w:t>ssing and ways sought to reverse this trend</w:t>
      </w:r>
      <w:r w:rsidR="009B0DA3" w:rsidRPr="004151B1">
        <w:rPr>
          <w:rFonts w:ascii="Times New Roman" w:hAnsi="Times New Roman" w:cs="Times New Roman"/>
        </w:rPr>
        <w:t>.</w:t>
      </w:r>
    </w:p>
    <w:p w14:paraId="3BA54EB4" w14:textId="77777777" w:rsidR="001A7368" w:rsidRPr="00BC3466" w:rsidRDefault="001A7368" w:rsidP="00295642">
      <w:pPr>
        <w:spacing w:line="360" w:lineRule="auto"/>
        <w:jc w:val="both"/>
        <w:rPr>
          <w:rFonts w:ascii="Times New Roman" w:hAnsi="Times New Roman" w:cs="Times New Roman"/>
          <w:color w:val="000000" w:themeColor="text1"/>
        </w:rPr>
      </w:pPr>
    </w:p>
    <w:p w14:paraId="5923A153" w14:textId="04E6A38A" w:rsidR="00B02D82" w:rsidRDefault="00912F35" w:rsidP="00295642">
      <w:pPr>
        <w:spacing w:line="360" w:lineRule="auto"/>
        <w:jc w:val="both"/>
        <w:rPr>
          <w:rFonts w:ascii="Times New Roman" w:hAnsi="Times New Roman" w:cs="Times New Roman"/>
          <w:color w:val="000000" w:themeColor="text1"/>
          <w:u w:val="single"/>
        </w:rPr>
      </w:pPr>
      <w:r>
        <w:rPr>
          <w:rFonts w:ascii="Times New Roman" w:hAnsi="Times New Roman" w:cs="Times New Roman"/>
          <w:color w:val="000000" w:themeColor="text1"/>
          <w:u w:val="single"/>
        </w:rPr>
        <w:t>VI</w:t>
      </w:r>
      <w:r w:rsidR="006010E0" w:rsidRPr="006010E0">
        <w:rPr>
          <w:rFonts w:ascii="Times New Roman" w:hAnsi="Times New Roman" w:cs="Times New Roman"/>
          <w:color w:val="000000" w:themeColor="text1"/>
          <w:u w:val="single"/>
        </w:rPr>
        <w:t xml:space="preserve">. </w:t>
      </w:r>
      <w:r w:rsidR="00B02D82" w:rsidRPr="006010E0">
        <w:rPr>
          <w:rFonts w:ascii="Times New Roman" w:hAnsi="Times New Roman" w:cs="Times New Roman"/>
          <w:color w:val="000000" w:themeColor="text1"/>
          <w:u w:val="single"/>
        </w:rPr>
        <w:t>The role of the Office of Students</w:t>
      </w:r>
    </w:p>
    <w:p w14:paraId="4A6FED3D" w14:textId="1F1C8E92" w:rsidR="009E32DA" w:rsidRPr="00A90602" w:rsidRDefault="00912F35" w:rsidP="00455C0A">
      <w:pPr>
        <w:spacing w:line="360" w:lineRule="auto"/>
        <w:jc w:val="both"/>
        <w:rPr>
          <w:rFonts w:ascii="Times New Roman" w:hAnsi="Times New Roman" w:cs="Times New Roman"/>
          <w:u w:val="single"/>
        </w:rPr>
      </w:pPr>
      <w:r>
        <w:rPr>
          <w:rFonts w:ascii="Times New Roman" w:hAnsi="Times New Roman" w:cs="Times New Roman"/>
        </w:rPr>
        <w:t xml:space="preserve">1. </w:t>
      </w:r>
      <w:r w:rsidR="001B5B12" w:rsidRPr="00A90602">
        <w:rPr>
          <w:rFonts w:ascii="Times New Roman" w:hAnsi="Times New Roman" w:cs="Times New Roman"/>
        </w:rPr>
        <w:t xml:space="preserve">We endorse the Higher </w:t>
      </w:r>
      <w:r w:rsidR="000E27EB" w:rsidRPr="00A90602">
        <w:rPr>
          <w:rFonts w:ascii="Times New Roman" w:hAnsi="Times New Roman" w:cs="Times New Roman"/>
        </w:rPr>
        <w:t xml:space="preserve">Education Commission’s challenge to the OfS to act as an engine of social mobility, and back Sir Michael Barber’s affirmation that ‘the autonomy of institutions and academic freedom are fundamental building blocks for a </w:t>
      </w:r>
      <w:r w:rsidR="00455C0A" w:rsidRPr="00A90602">
        <w:rPr>
          <w:rFonts w:ascii="Times New Roman" w:hAnsi="Times New Roman" w:cs="Times New Roman"/>
        </w:rPr>
        <w:t>successful sector</w:t>
      </w:r>
      <w:r w:rsidR="000E27EB" w:rsidRPr="00A90602">
        <w:rPr>
          <w:rFonts w:ascii="Times New Roman" w:hAnsi="Times New Roman" w:cs="Times New Roman"/>
        </w:rPr>
        <w:t>’ (26 June 2017)</w:t>
      </w:r>
      <w:r w:rsidR="00F7212A" w:rsidRPr="00A90602">
        <w:rPr>
          <w:rFonts w:ascii="Times New Roman" w:hAnsi="Times New Roman" w:cs="Times New Roman"/>
        </w:rPr>
        <w:t xml:space="preserve">. However, the promise of both Sir Michael and Nicola Dandridge to </w:t>
      </w:r>
      <w:r w:rsidR="00B23655" w:rsidRPr="00A90602">
        <w:rPr>
          <w:rFonts w:ascii="Times New Roman" w:hAnsi="Times New Roman" w:cs="Times New Roman"/>
        </w:rPr>
        <w:t xml:space="preserve">provide </w:t>
      </w:r>
      <w:r w:rsidR="00F7212A" w:rsidRPr="00A90602">
        <w:rPr>
          <w:rFonts w:ascii="Times New Roman" w:hAnsi="Times New Roman" w:cs="Times New Roman"/>
        </w:rPr>
        <w:t>‘an unflinching focus on the student</w:t>
      </w:r>
      <w:r w:rsidR="00455C0A" w:rsidRPr="00A90602">
        <w:rPr>
          <w:rFonts w:ascii="Times New Roman" w:hAnsi="Times New Roman" w:cs="Times New Roman"/>
        </w:rPr>
        <w:t xml:space="preserve">’ </w:t>
      </w:r>
      <w:r w:rsidR="00A90602" w:rsidRPr="00A90602">
        <w:rPr>
          <w:rFonts w:ascii="Times New Roman" w:hAnsi="Times New Roman" w:cs="Times New Roman"/>
        </w:rPr>
        <w:t xml:space="preserve">carries with it some dangers.  </w:t>
      </w:r>
      <w:r w:rsidR="00F558F0" w:rsidRPr="00F558F0">
        <w:rPr>
          <w:rFonts w:ascii="Times New Roman" w:hAnsi="Times New Roman" w:cs="Times New Roman"/>
        </w:rPr>
        <w:t>Over the medium- and long-term</w:t>
      </w:r>
      <w:r w:rsidR="00A90602" w:rsidRPr="00F558F0">
        <w:rPr>
          <w:rFonts w:ascii="Times New Roman" w:hAnsi="Times New Roman" w:cs="Times New Roman"/>
        </w:rPr>
        <w:t>, s</w:t>
      </w:r>
      <w:r w:rsidR="00F7212A" w:rsidRPr="00F558F0">
        <w:rPr>
          <w:rFonts w:ascii="Times New Roman" w:hAnsi="Times New Roman" w:cs="Times New Roman"/>
        </w:rPr>
        <w:t xml:space="preserve">tudent interests are best advanced by </w:t>
      </w:r>
      <w:r w:rsidR="00F7212A" w:rsidRPr="00F558F0">
        <w:rPr>
          <w:rFonts w:ascii="Times New Roman" w:hAnsi="Times New Roman" w:cs="Times New Roman"/>
        </w:rPr>
        <w:lastRenderedPageBreak/>
        <w:t xml:space="preserve">acknowledging the needs and aspirations of the </w:t>
      </w:r>
      <w:r w:rsidR="00455C0A" w:rsidRPr="00F558F0">
        <w:rPr>
          <w:rFonts w:ascii="Times New Roman" w:hAnsi="Times New Roman" w:cs="Times New Roman"/>
        </w:rPr>
        <w:t xml:space="preserve">broader </w:t>
      </w:r>
      <w:r w:rsidR="00F7212A" w:rsidRPr="00F558F0">
        <w:rPr>
          <w:rFonts w:ascii="Times New Roman" w:hAnsi="Times New Roman" w:cs="Times New Roman"/>
        </w:rPr>
        <w:t xml:space="preserve">academic communities </w:t>
      </w:r>
      <w:r w:rsidR="00A90602" w:rsidRPr="00F558F0">
        <w:rPr>
          <w:rFonts w:ascii="Times New Roman" w:hAnsi="Times New Roman" w:cs="Times New Roman"/>
        </w:rPr>
        <w:t>in which they study.  This environment</w:t>
      </w:r>
      <w:r w:rsidR="00F7212A" w:rsidRPr="00F558F0">
        <w:rPr>
          <w:rFonts w:ascii="Times New Roman" w:hAnsi="Times New Roman" w:cs="Times New Roman"/>
        </w:rPr>
        <w:t xml:space="preserve"> includes academic staff and fellow-st</w:t>
      </w:r>
      <w:r w:rsidR="00455C0A" w:rsidRPr="00F558F0">
        <w:rPr>
          <w:rFonts w:ascii="Times New Roman" w:hAnsi="Times New Roman" w:cs="Times New Roman"/>
        </w:rPr>
        <w:t xml:space="preserve">udents working as teachers, whose research-based or -led teaching is central to the curriculum and culture of many HEIs.  Too narrow a focus on students will not advance the interests of the institutions in which they learn and </w:t>
      </w:r>
      <w:r w:rsidR="00A90602" w:rsidRPr="00F558F0">
        <w:rPr>
          <w:rFonts w:ascii="Times New Roman" w:hAnsi="Times New Roman" w:cs="Times New Roman"/>
        </w:rPr>
        <w:t>instead will</w:t>
      </w:r>
      <w:r w:rsidR="00A90602">
        <w:rPr>
          <w:rFonts w:ascii="Times New Roman" w:hAnsi="Times New Roman" w:cs="Times New Roman"/>
          <w:color w:val="FF0000"/>
        </w:rPr>
        <w:t xml:space="preserve"> </w:t>
      </w:r>
      <w:r w:rsidR="00455C0A" w:rsidRPr="00A90602">
        <w:rPr>
          <w:rFonts w:ascii="Times New Roman" w:hAnsi="Times New Roman" w:cs="Times New Roman"/>
        </w:rPr>
        <w:t>risk damaging the educational experience.</w:t>
      </w:r>
    </w:p>
    <w:p w14:paraId="6069F385" w14:textId="77777777" w:rsidR="001A7368" w:rsidRPr="00BC3466" w:rsidRDefault="001A7368" w:rsidP="00295642">
      <w:pPr>
        <w:spacing w:line="360" w:lineRule="auto"/>
        <w:jc w:val="both"/>
        <w:rPr>
          <w:rFonts w:ascii="Times New Roman" w:hAnsi="Times New Roman" w:cs="Times New Roman"/>
        </w:rPr>
      </w:pPr>
    </w:p>
    <w:sectPr w:rsidR="001A7368" w:rsidRPr="00BC3466" w:rsidSect="004720DD">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072C2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8F24A" w14:textId="77777777" w:rsidR="00745A8F" w:rsidRDefault="00745A8F" w:rsidP="006F5A49">
      <w:r>
        <w:separator/>
      </w:r>
    </w:p>
  </w:endnote>
  <w:endnote w:type="continuationSeparator" w:id="0">
    <w:p w14:paraId="63948C6B" w14:textId="77777777" w:rsidR="00745A8F" w:rsidRDefault="00745A8F" w:rsidP="006F5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9A275" w14:textId="77777777" w:rsidR="00745A8F" w:rsidRDefault="00745A8F" w:rsidP="006F5A49">
      <w:r>
        <w:separator/>
      </w:r>
    </w:p>
  </w:footnote>
  <w:footnote w:type="continuationSeparator" w:id="0">
    <w:p w14:paraId="77AB48EE" w14:textId="77777777" w:rsidR="00745A8F" w:rsidRDefault="00745A8F" w:rsidP="006F5A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E7D50EA"/>
    <w:multiLevelType w:val="multilevel"/>
    <w:tmpl w:val="EA20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8B4BEE"/>
    <w:multiLevelType w:val="multilevel"/>
    <w:tmpl w:val="76120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C90837"/>
    <w:multiLevelType w:val="multilevel"/>
    <w:tmpl w:val="C86458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4B061D"/>
    <w:multiLevelType w:val="hybridMultilevel"/>
    <w:tmpl w:val="6F90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BA57D6"/>
    <w:multiLevelType w:val="multilevel"/>
    <w:tmpl w:val="EAF68FB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573399"/>
    <w:multiLevelType w:val="multilevel"/>
    <w:tmpl w:val="601A2B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EE3400"/>
    <w:multiLevelType w:val="hybridMultilevel"/>
    <w:tmpl w:val="1FA0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3"/>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6BC"/>
    <w:rsid w:val="0001204A"/>
    <w:rsid w:val="00031DF9"/>
    <w:rsid w:val="00037775"/>
    <w:rsid w:val="0004633B"/>
    <w:rsid w:val="00064717"/>
    <w:rsid w:val="00065E6B"/>
    <w:rsid w:val="00090383"/>
    <w:rsid w:val="000A782D"/>
    <w:rsid w:val="000B20DB"/>
    <w:rsid w:val="000B2CA8"/>
    <w:rsid w:val="000C1D11"/>
    <w:rsid w:val="000C70A1"/>
    <w:rsid w:val="000D0B58"/>
    <w:rsid w:val="000E27EB"/>
    <w:rsid w:val="0010652E"/>
    <w:rsid w:val="0018017B"/>
    <w:rsid w:val="001A7368"/>
    <w:rsid w:val="001B08BC"/>
    <w:rsid w:val="001B5B12"/>
    <w:rsid w:val="001D24A8"/>
    <w:rsid w:val="001D6D2D"/>
    <w:rsid w:val="001E406C"/>
    <w:rsid w:val="00216118"/>
    <w:rsid w:val="00220563"/>
    <w:rsid w:val="0028633C"/>
    <w:rsid w:val="00295642"/>
    <w:rsid w:val="002A6241"/>
    <w:rsid w:val="002A6D7C"/>
    <w:rsid w:val="002E290D"/>
    <w:rsid w:val="002F3962"/>
    <w:rsid w:val="003136EF"/>
    <w:rsid w:val="00343637"/>
    <w:rsid w:val="00363013"/>
    <w:rsid w:val="00365BE8"/>
    <w:rsid w:val="003D3AEF"/>
    <w:rsid w:val="004012FA"/>
    <w:rsid w:val="004151B1"/>
    <w:rsid w:val="00450CF2"/>
    <w:rsid w:val="00455C0A"/>
    <w:rsid w:val="00456C0F"/>
    <w:rsid w:val="00467671"/>
    <w:rsid w:val="004720DD"/>
    <w:rsid w:val="004B3A01"/>
    <w:rsid w:val="004C052D"/>
    <w:rsid w:val="004D41E5"/>
    <w:rsid w:val="0056626A"/>
    <w:rsid w:val="00593C3B"/>
    <w:rsid w:val="005D1FEA"/>
    <w:rsid w:val="005E68E4"/>
    <w:rsid w:val="005F3F88"/>
    <w:rsid w:val="006002AD"/>
    <w:rsid w:val="006010E0"/>
    <w:rsid w:val="00606B1B"/>
    <w:rsid w:val="006133DD"/>
    <w:rsid w:val="0061390E"/>
    <w:rsid w:val="00621ECC"/>
    <w:rsid w:val="00636B22"/>
    <w:rsid w:val="00640921"/>
    <w:rsid w:val="00663B65"/>
    <w:rsid w:val="006A2809"/>
    <w:rsid w:val="006C120A"/>
    <w:rsid w:val="006D6534"/>
    <w:rsid w:val="006F5A49"/>
    <w:rsid w:val="007016BC"/>
    <w:rsid w:val="007016BE"/>
    <w:rsid w:val="0070173A"/>
    <w:rsid w:val="0071748D"/>
    <w:rsid w:val="00745A8F"/>
    <w:rsid w:val="0074670C"/>
    <w:rsid w:val="00755332"/>
    <w:rsid w:val="0076061E"/>
    <w:rsid w:val="007E3876"/>
    <w:rsid w:val="007F7BF7"/>
    <w:rsid w:val="00831E89"/>
    <w:rsid w:val="00836A9F"/>
    <w:rsid w:val="008702B9"/>
    <w:rsid w:val="00871A10"/>
    <w:rsid w:val="00880D20"/>
    <w:rsid w:val="008B5149"/>
    <w:rsid w:val="008C5625"/>
    <w:rsid w:val="00910A98"/>
    <w:rsid w:val="00912F35"/>
    <w:rsid w:val="0092499D"/>
    <w:rsid w:val="00925C5F"/>
    <w:rsid w:val="00971162"/>
    <w:rsid w:val="00974A08"/>
    <w:rsid w:val="00977AA6"/>
    <w:rsid w:val="009B0DA3"/>
    <w:rsid w:val="009C582D"/>
    <w:rsid w:val="009E0DE6"/>
    <w:rsid w:val="009E32DA"/>
    <w:rsid w:val="00A05155"/>
    <w:rsid w:val="00A46B0A"/>
    <w:rsid w:val="00A76F29"/>
    <w:rsid w:val="00A90602"/>
    <w:rsid w:val="00AB1B7C"/>
    <w:rsid w:val="00AE2B72"/>
    <w:rsid w:val="00AE3D31"/>
    <w:rsid w:val="00AE4B8A"/>
    <w:rsid w:val="00AE6FE7"/>
    <w:rsid w:val="00AF45A7"/>
    <w:rsid w:val="00B02D82"/>
    <w:rsid w:val="00B23655"/>
    <w:rsid w:val="00B300AF"/>
    <w:rsid w:val="00B46568"/>
    <w:rsid w:val="00B50097"/>
    <w:rsid w:val="00B901B4"/>
    <w:rsid w:val="00B90E65"/>
    <w:rsid w:val="00B97BE1"/>
    <w:rsid w:val="00BC3466"/>
    <w:rsid w:val="00BE573E"/>
    <w:rsid w:val="00C157F3"/>
    <w:rsid w:val="00C45A1E"/>
    <w:rsid w:val="00C74987"/>
    <w:rsid w:val="00CB3A2B"/>
    <w:rsid w:val="00D04BCC"/>
    <w:rsid w:val="00D33559"/>
    <w:rsid w:val="00D60F9A"/>
    <w:rsid w:val="00D73EE9"/>
    <w:rsid w:val="00D9261B"/>
    <w:rsid w:val="00DB40F6"/>
    <w:rsid w:val="00DD41BA"/>
    <w:rsid w:val="00E0462D"/>
    <w:rsid w:val="00E2095F"/>
    <w:rsid w:val="00E20FB6"/>
    <w:rsid w:val="00E442BF"/>
    <w:rsid w:val="00E549F7"/>
    <w:rsid w:val="00E9537F"/>
    <w:rsid w:val="00EC1C69"/>
    <w:rsid w:val="00EE74C9"/>
    <w:rsid w:val="00F10A41"/>
    <w:rsid w:val="00F14F74"/>
    <w:rsid w:val="00F41321"/>
    <w:rsid w:val="00F558F0"/>
    <w:rsid w:val="00F7212A"/>
    <w:rsid w:val="00F913DE"/>
    <w:rsid w:val="00FA25BB"/>
    <w:rsid w:val="00FA6D94"/>
    <w:rsid w:val="00FB1C33"/>
    <w:rsid w:val="00FB5D65"/>
    <w:rsid w:val="00FC10A4"/>
    <w:rsid w:val="00FD4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DAC7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6B0A"/>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467671"/>
    <w:rPr>
      <w:color w:val="0000FF" w:themeColor="hyperlink"/>
      <w:u w:val="single"/>
    </w:rPr>
  </w:style>
  <w:style w:type="character" w:styleId="CommentReference">
    <w:name w:val="annotation reference"/>
    <w:basedOn w:val="DefaultParagraphFont"/>
    <w:uiPriority w:val="99"/>
    <w:semiHidden/>
    <w:unhideWhenUsed/>
    <w:rsid w:val="009E0DE6"/>
    <w:rPr>
      <w:sz w:val="18"/>
      <w:szCs w:val="18"/>
    </w:rPr>
  </w:style>
  <w:style w:type="paragraph" w:styleId="CommentText">
    <w:name w:val="annotation text"/>
    <w:basedOn w:val="Normal"/>
    <w:link w:val="CommentTextChar"/>
    <w:uiPriority w:val="99"/>
    <w:semiHidden/>
    <w:unhideWhenUsed/>
    <w:rsid w:val="009E0DE6"/>
  </w:style>
  <w:style w:type="character" w:customStyle="1" w:styleId="CommentTextChar">
    <w:name w:val="Comment Text Char"/>
    <w:basedOn w:val="DefaultParagraphFont"/>
    <w:link w:val="CommentText"/>
    <w:uiPriority w:val="99"/>
    <w:semiHidden/>
    <w:rsid w:val="009E0DE6"/>
  </w:style>
  <w:style w:type="paragraph" w:styleId="CommentSubject">
    <w:name w:val="annotation subject"/>
    <w:basedOn w:val="CommentText"/>
    <w:next w:val="CommentText"/>
    <w:link w:val="CommentSubjectChar"/>
    <w:uiPriority w:val="99"/>
    <w:semiHidden/>
    <w:unhideWhenUsed/>
    <w:rsid w:val="009E0DE6"/>
    <w:rPr>
      <w:b/>
      <w:bCs/>
      <w:sz w:val="20"/>
      <w:szCs w:val="20"/>
    </w:rPr>
  </w:style>
  <w:style w:type="character" w:customStyle="1" w:styleId="CommentSubjectChar">
    <w:name w:val="Comment Subject Char"/>
    <w:basedOn w:val="CommentTextChar"/>
    <w:link w:val="CommentSubject"/>
    <w:uiPriority w:val="99"/>
    <w:semiHidden/>
    <w:rsid w:val="009E0DE6"/>
    <w:rPr>
      <w:b/>
      <w:bCs/>
      <w:sz w:val="20"/>
      <w:szCs w:val="20"/>
    </w:rPr>
  </w:style>
  <w:style w:type="paragraph" w:styleId="BalloonText">
    <w:name w:val="Balloon Text"/>
    <w:basedOn w:val="Normal"/>
    <w:link w:val="BalloonTextChar"/>
    <w:uiPriority w:val="99"/>
    <w:semiHidden/>
    <w:unhideWhenUsed/>
    <w:rsid w:val="009E0D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0DE6"/>
    <w:rPr>
      <w:rFonts w:ascii="Lucida Grande" w:hAnsi="Lucida Grande" w:cs="Lucida Grande"/>
      <w:sz w:val="18"/>
      <w:szCs w:val="18"/>
    </w:rPr>
  </w:style>
  <w:style w:type="character" w:styleId="FollowedHyperlink">
    <w:name w:val="FollowedHyperlink"/>
    <w:basedOn w:val="DefaultParagraphFont"/>
    <w:uiPriority w:val="99"/>
    <w:semiHidden/>
    <w:unhideWhenUsed/>
    <w:rsid w:val="006010E0"/>
    <w:rPr>
      <w:color w:val="800080" w:themeColor="followedHyperlink"/>
      <w:u w:val="single"/>
    </w:rPr>
  </w:style>
  <w:style w:type="paragraph" w:styleId="FootnoteText">
    <w:name w:val="footnote text"/>
    <w:basedOn w:val="Normal"/>
    <w:link w:val="FootnoteTextChar"/>
    <w:uiPriority w:val="99"/>
    <w:semiHidden/>
    <w:unhideWhenUsed/>
    <w:rsid w:val="006F5A49"/>
    <w:rPr>
      <w:sz w:val="20"/>
      <w:szCs w:val="20"/>
    </w:rPr>
  </w:style>
  <w:style w:type="character" w:customStyle="1" w:styleId="FootnoteTextChar">
    <w:name w:val="Footnote Text Char"/>
    <w:basedOn w:val="DefaultParagraphFont"/>
    <w:link w:val="FootnoteText"/>
    <w:uiPriority w:val="99"/>
    <w:semiHidden/>
    <w:rsid w:val="006F5A49"/>
    <w:rPr>
      <w:sz w:val="20"/>
      <w:szCs w:val="20"/>
    </w:rPr>
  </w:style>
  <w:style w:type="character" w:styleId="FootnoteReference">
    <w:name w:val="footnote reference"/>
    <w:basedOn w:val="DefaultParagraphFont"/>
    <w:uiPriority w:val="99"/>
    <w:semiHidden/>
    <w:unhideWhenUsed/>
    <w:rsid w:val="006F5A49"/>
    <w:rPr>
      <w:vertAlign w:val="superscript"/>
    </w:rPr>
  </w:style>
  <w:style w:type="paragraph" w:styleId="ListParagraph">
    <w:name w:val="List Paragraph"/>
    <w:basedOn w:val="Normal"/>
    <w:uiPriority w:val="34"/>
    <w:qFormat/>
    <w:rsid w:val="00CB3A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6B0A"/>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467671"/>
    <w:rPr>
      <w:color w:val="0000FF" w:themeColor="hyperlink"/>
      <w:u w:val="single"/>
    </w:rPr>
  </w:style>
  <w:style w:type="character" w:styleId="CommentReference">
    <w:name w:val="annotation reference"/>
    <w:basedOn w:val="DefaultParagraphFont"/>
    <w:uiPriority w:val="99"/>
    <w:semiHidden/>
    <w:unhideWhenUsed/>
    <w:rsid w:val="009E0DE6"/>
    <w:rPr>
      <w:sz w:val="18"/>
      <w:szCs w:val="18"/>
    </w:rPr>
  </w:style>
  <w:style w:type="paragraph" w:styleId="CommentText">
    <w:name w:val="annotation text"/>
    <w:basedOn w:val="Normal"/>
    <w:link w:val="CommentTextChar"/>
    <w:uiPriority w:val="99"/>
    <w:semiHidden/>
    <w:unhideWhenUsed/>
    <w:rsid w:val="009E0DE6"/>
  </w:style>
  <w:style w:type="character" w:customStyle="1" w:styleId="CommentTextChar">
    <w:name w:val="Comment Text Char"/>
    <w:basedOn w:val="DefaultParagraphFont"/>
    <w:link w:val="CommentText"/>
    <w:uiPriority w:val="99"/>
    <w:semiHidden/>
    <w:rsid w:val="009E0DE6"/>
  </w:style>
  <w:style w:type="paragraph" w:styleId="CommentSubject">
    <w:name w:val="annotation subject"/>
    <w:basedOn w:val="CommentText"/>
    <w:next w:val="CommentText"/>
    <w:link w:val="CommentSubjectChar"/>
    <w:uiPriority w:val="99"/>
    <w:semiHidden/>
    <w:unhideWhenUsed/>
    <w:rsid w:val="009E0DE6"/>
    <w:rPr>
      <w:b/>
      <w:bCs/>
      <w:sz w:val="20"/>
      <w:szCs w:val="20"/>
    </w:rPr>
  </w:style>
  <w:style w:type="character" w:customStyle="1" w:styleId="CommentSubjectChar">
    <w:name w:val="Comment Subject Char"/>
    <w:basedOn w:val="CommentTextChar"/>
    <w:link w:val="CommentSubject"/>
    <w:uiPriority w:val="99"/>
    <w:semiHidden/>
    <w:rsid w:val="009E0DE6"/>
    <w:rPr>
      <w:b/>
      <w:bCs/>
      <w:sz w:val="20"/>
      <w:szCs w:val="20"/>
    </w:rPr>
  </w:style>
  <w:style w:type="paragraph" w:styleId="BalloonText">
    <w:name w:val="Balloon Text"/>
    <w:basedOn w:val="Normal"/>
    <w:link w:val="BalloonTextChar"/>
    <w:uiPriority w:val="99"/>
    <w:semiHidden/>
    <w:unhideWhenUsed/>
    <w:rsid w:val="009E0D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0DE6"/>
    <w:rPr>
      <w:rFonts w:ascii="Lucida Grande" w:hAnsi="Lucida Grande" w:cs="Lucida Grande"/>
      <w:sz w:val="18"/>
      <w:szCs w:val="18"/>
    </w:rPr>
  </w:style>
  <w:style w:type="character" w:styleId="FollowedHyperlink">
    <w:name w:val="FollowedHyperlink"/>
    <w:basedOn w:val="DefaultParagraphFont"/>
    <w:uiPriority w:val="99"/>
    <w:semiHidden/>
    <w:unhideWhenUsed/>
    <w:rsid w:val="006010E0"/>
    <w:rPr>
      <w:color w:val="800080" w:themeColor="followedHyperlink"/>
      <w:u w:val="single"/>
    </w:rPr>
  </w:style>
  <w:style w:type="paragraph" w:styleId="FootnoteText">
    <w:name w:val="footnote text"/>
    <w:basedOn w:val="Normal"/>
    <w:link w:val="FootnoteTextChar"/>
    <w:uiPriority w:val="99"/>
    <w:semiHidden/>
    <w:unhideWhenUsed/>
    <w:rsid w:val="006F5A49"/>
    <w:rPr>
      <w:sz w:val="20"/>
      <w:szCs w:val="20"/>
    </w:rPr>
  </w:style>
  <w:style w:type="character" w:customStyle="1" w:styleId="FootnoteTextChar">
    <w:name w:val="Footnote Text Char"/>
    <w:basedOn w:val="DefaultParagraphFont"/>
    <w:link w:val="FootnoteText"/>
    <w:uiPriority w:val="99"/>
    <w:semiHidden/>
    <w:rsid w:val="006F5A49"/>
    <w:rPr>
      <w:sz w:val="20"/>
      <w:szCs w:val="20"/>
    </w:rPr>
  </w:style>
  <w:style w:type="character" w:styleId="FootnoteReference">
    <w:name w:val="footnote reference"/>
    <w:basedOn w:val="DefaultParagraphFont"/>
    <w:uiPriority w:val="99"/>
    <w:semiHidden/>
    <w:unhideWhenUsed/>
    <w:rsid w:val="006F5A49"/>
    <w:rPr>
      <w:vertAlign w:val="superscript"/>
    </w:rPr>
  </w:style>
  <w:style w:type="paragraph" w:styleId="ListParagraph">
    <w:name w:val="List Paragraph"/>
    <w:basedOn w:val="Normal"/>
    <w:uiPriority w:val="34"/>
    <w:qFormat/>
    <w:rsid w:val="00CB3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20081">
      <w:bodyDiv w:val="1"/>
      <w:marLeft w:val="0"/>
      <w:marRight w:val="0"/>
      <w:marTop w:val="0"/>
      <w:marBottom w:val="0"/>
      <w:divBdr>
        <w:top w:val="none" w:sz="0" w:space="0" w:color="auto"/>
        <w:left w:val="none" w:sz="0" w:space="0" w:color="auto"/>
        <w:bottom w:val="none" w:sz="0" w:space="0" w:color="auto"/>
        <w:right w:val="none" w:sz="0" w:space="0" w:color="auto"/>
      </w:divBdr>
      <w:divsChild>
        <w:div w:id="696202885">
          <w:marLeft w:val="0"/>
          <w:marRight w:val="0"/>
          <w:marTop w:val="0"/>
          <w:marBottom w:val="0"/>
          <w:divBdr>
            <w:top w:val="none" w:sz="0" w:space="0" w:color="auto"/>
            <w:left w:val="none" w:sz="0" w:space="0" w:color="auto"/>
            <w:bottom w:val="none" w:sz="0" w:space="0" w:color="auto"/>
            <w:right w:val="none" w:sz="0" w:space="0" w:color="auto"/>
          </w:divBdr>
          <w:divsChild>
            <w:div w:id="1182007771">
              <w:marLeft w:val="0"/>
              <w:marRight w:val="0"/>
              <w:marTop w:val="0"/>
              <w:marBottom w:val="0"/>
              <w:divBdr>
                <w:top w:val="none" w:sz="0" w:space="0" w:color="auto"/>
                <w:left w:val="none" w:sz="0" w:space="0" w:color="auto"/>
                <w:bottom w:val="none" w:sz="0" w:space="0" w:color="auto"/>
                <w:right w:val="none" w:sz="0" w:space="0" w:color="auto"/>
              </w:divBdr>
              <w:divsChild>
                <w:div w:id="20691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677346">
      <w:bodyDiv w:val="1"/>
      <w:marLeft w:val="0"/>
      <w:marRight w:val="0"/>
      <w:marTop w:val="0"/>
      <w:marBottom w:val="0"/>
      <w:divBdr>
        <w:top w:val="none" w:sz="0" w:space="0" w:color="auto"/>
        <w:left w:val="none" w:sz="0" w:space="0" w:color="auto"/>
        <w:bottom w:val="none" w:sz="0" w:space="0" w:color="auto"/>
        <w:right w:val="none" w:sz="0" w:space="0" w:color="auto"/>
      </w:divBdr>
      <w:divsChild>
        <w:div w:id="156193995">
          <w:marLeft w:val="0"/>
          <w:marRight w:val="0"/>
          <w:marTop w:val="0"/>
          <w:marBottom w:val="0"/>
          <w:divBdr>
            <w:top w:val="none" w:sz="0" w:space="0" w:color="auto"/>
            <w:left w:val="none" w:sz="0" w:space="0" w:color="auto"/>
            <w:bottom w:val="none" w:sz="0" w:space="0" w:color="auto"/>
            <w:right w:val="none" w:sz="0" w:space="0" w:color="auto"/>
          </w:divBdr>
          <w:divsChild>
            <w:div w:id="1176723263">
              <w:marLeft w:val="0"/>
              <w:marRight w:val="0"/>
              <w:marTop w:val="0"/>
              <w:marBottom w:val="0"/>
              <w:divBdr>
                <w:top w:val="none" w:sz="0" w:space="0" w:color="auto"/>
                <w:left w:val="none" w:sz="0" w:space="0" w:color="auto"/>
                <w:bottom w:val="none" w:sz="0" w:space="0" w:color="auto"/>
                <w:right w:val="none" w:sz="0" w:space="0" w:color="auto"/>
              </w:divBdr>
              <w:divsChild>
                <w:div w:id="61448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88743">
      <w:bodyDiv w:val="1"/>
      <w:marLeft w:val="0"/>
      <w:marRight w:val="0"/>
      <w:marTop w:val="0"/>
      <w:marBottom w:val="0"/>
      <w:divBdr>
        <w:top w:val="none" w:sz="0" w:space="0" w:color="auto"/>
        <w:left w:val="none" w:sz="0" w:space="0" w:color="auto"/>
        <w:bottom w:val="none" w:sz="0" w:space="0" w:color="auto"/>
        <w:right w:val="none" w:sz="0" w:space="0" w:color="auto"/>
      </w:divBdr>
      <w:divsChild>
        <w:div w:id="361252055">
          <w:marLeft w:val="0"/>
          <w:marRight w:val="0"/>
          <w:marTop w:val="0"/>
          <w:marBottom w:val="0"/>
          <w:divBdr>
            <w:top w:val="none" w:sz="0" w:space="0" w:color="auto"/>
            <w:left w:val="none" w:sz="0" w:space="0" w:color="auto"/>
            <w:bottom w:val="none" w:sz="0" w:space="0" w:color="auto"/>
            <w:right w:val="none" w:sz="0" w:space="0" w:color="auto"/>
          </w:divBdr>
          <w:divsChild>
            <w:div w:id="1314486338">
              <w:marLeft w:val="0"/>
              <w:marRight w:val="0"/>
              <w:marTop w:val="0"/>
              <w:marBottom w:val="0"/>
              <w:divBdr>
                <w:top w:val="none" w:sz="0" w:space="0" w:color="auto"/>
                <w:left w:val="none" w:sz="0" w:space="0" w:color="auto"/>
                <w:bottom w:val="none" w:sz="0" w:space="0" w:color="auto"/>
                <w:right w:val="none" w:sz="0" w:space="0" w:color="auto"/>
              </w:divBdr>
              <w:divsChild>
                <w:div w:id="30759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29250">
      <w:bodyDiv w:val="1"/>
      <w:marLeft w:val="0"/>
      <w:marRight w:val="0"/>
      <w:marTop w:val="0"/>
      <w:marBottom w:val="0"/>
      <w:divBdr>
        <w:top w:val="none" w:sz="0" w:space="0" w:color="auto"/>
        <w:left w:val="none" w:sz="0" w:space="0" w:color="auto"/>
        <w:bottom w:val="none" w:sz="0" w:space="0" w:color="auto"/>
        <w:right w:val="none" w:sz="0" w:space="0" w:color="auto"/>
      </w:divBdr>
      <w:divsChild>
        <w:div w:id="1352681021">
          <w:marLeft w:val="0"/>
          <w:marRight w:val="0"/>
          <w:marTop w:val="0"/>
          <w:marBottom w:val="0"/>
          <w:divBdr>
            <w:top w:val="none" w:sz="0" w:space="0" w:color="auto"/>
            <w:left w:val="none" w:sz="0" w:space="0" w:color="auto"/>
            <w:bottom w:val="none" w:sz="0" w:space="0" w:color="auto"/>
            <w:right w:val="none" w:sz="0" w:space="0" w:color="auto"/>
          </w:divBdr>
          <w:divsChild>
            <w:div w:id="1007053540">
              <w:marLeft w:val="0"/>
              <w:marRight w:val="0"/>
              <w:marTop w:val="0"/>
              <w:marBottom w:val="0"/>
              <w:divBdr>
                <w:top w:val="none" w:sz="0" w:space="0" w:color="auto"/>
                <w:left w:val="none" w:sz="0" w:space="0" w:color="auto"/>
                <w:bottom w:val="none" w:sz="0" w:space="0" w:color="auto"/>
                <w:right w:val="none" w:sz="0" w:space="0" w:color="auto"/>
              </w:divBdr>
              <w:divsChild>
                <w:div w:id="184878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61807">
      <w:bodyDiv w:val="1"/>
      <w:marLeft w:val="0"/>
      <w:marRight w:val="0"/>
      <w:marTop w:val="0"/>
      <w:marBottom w:val="0"/>
      <w:divBdr>
        <w:top w:val="none" w:sz="0" w:space="0" w:color="auto"/>
        <w:left w:val="none" w:sz="0" w:space="0" w:color="auto"/>
        <w:bottom w:val="none" w:sz="0" w:space="0" w:color="auto"/>
        <w:right w:val="none" w:sz="0" w:space="0" w:color="auto"/>
      </w:divBdr>
      <w:divsChild>
        <w:div w:id="881285088">
          <w:marLeft w:val="0"/>
          <w:marRight w:val="0"/>
          <w:marTop w:val="0"/>
          <w:marBottom w:val="0"/>
          <w:divBdr>
            <w:top w:val="none" w:sz="0" w:space="0" w:color="auto"/>
            <w:left w:val="none" w:sz="0" w:space="0" w:color="auto"/>
            <w:bottom w:val="none" w:sz="0" w:space="0" w:color="auto"/>
            <w:right w:val="none" w:sz="0" w:space="0" w:color="auto"/>
          </w:divBdr>
          <w:divsChild>
            <w:div w:id="1797992633">
              <w:marLeft w:val="0"/>
              <w:marRight w:val="0"/>
              <w:marTop w:val="0"/>
              <w:marBottom w:val="0"/>
              <w:divBdr>
                <w:top w:val="none" w:sz="0" w:space="0" w:color="auto"/>
                <w:left w:val="none" w:sz="0" w:space="0" w:color="auto"/>
                <w:bottom w:val="none" w:sz="0" w:space="0" w:color="auto"/>
                <w:right w:val="none" w:sz="0" w:space="0" w:color="auto"/>
              </w:divBdr>
              <w:divsChild>
                <w:div w:id="21170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92023">
      <w:bodyDiv w:val="1"/>
      <w:marLeft w:val="0"/>
      <w:marRight w:val="0"/>
      <w:marTop w:val="0"/>
      <w:marBottom w:val="0"/>
      <w:divBdr>
        <w:top w:val="none" w:sz="0" w:space="0" w:color="auto"/>
        <w:left w:val="none" w:sz="0" w:space="0" w:color="auto"/>
        <w:bottom w:val="none" w:sz="0" w:space="0" w:color="auto"/>
        <w:right w:val="none" w:sz="0" w:space="0" w:color="auto"/>
      </w:divBdr>
      <w:divsChild>
        <w:div w:id="536309973">
          <w:marLeft w:val="0"/>
          <w:marRight w:val="0"/>
          <w:marTop w:val="0"/>
          <w:marBottom w:val="0"/>
          <w:divBdr>
            <w:top w:val="none" w:sz="0" w:space="0" w:color="auto"/>
            <w:left w:val="none" w:sz="0" w:space="0" w:color="auto"/>
            <w:bottom w:val="none" w:sz="0" w:space="0" w:color="auto"/>
            <w:right w:val="none" w:sz="0" w:space="0" w:color="auto"/>
          </w:divBdr>
          <w:divsChild>
            <w:div w:id="1696616908">
              <w:marLeft w:val="0"/>
              <w:marRight w:val="0"/>
              <w:marTop w:val="0"/>
              <w:marBottom w:val="0"/>
              <w:divBdr>
                <w:top w:val="none" w:sz="0" w:space="0" w:color="auto"/>
                <w:left w:val="none" w:sz="0" w:space="0" w:color="auto"/>
                <w:bottom w:val="none" w:sz="0" w:space="0" w:color="auto"/>
                <w:right w:val="none" w:sz="0" w:space="0" w:color="auto"/>
              </w:divBdr>
              <w:divsChild>
                <w:div w:id="21194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892581">
      <w:bodyDiv w:val="1"/>
      <w:marLeft w:val="0"/>
      <w:marRight w:val="0"/>
      <w:marTop w:val="0"/>
      <w:marBottom w:val="0"/>
      <w:divBdr>
        <w:top w:val="none" w:sz="0" w:space="0" w:color="auto"/>
        <w:left w:val="none" w:sz="0" w:space="0" w:color="auto"/>
        <w:bottom w:val="none" w:sz="0" w:space="0" w:color="auto"/>
        <w:right w:val="none" w:sz="0" w:space="0" w:color="auto"/>
      </w:divBdr>
      <w:divsChild>
        <w:div w:id="18433988">
          <w:marLeft w:val="0"/>
          <w:marRight w:val="0"/>
          <w:marTop w:val="0"/>
          <w:marBottom w:val="0"/>
          <w:divBdr>
            <w:top w:val="none" w:sz="0" w:space="0" w:color="auto"/>
            <w:left w:val="none" w:sz="0" w:space="0" w:color="auto"/>
            <w:bottom w:val="none" w:sz="0" w:space="0" w:color="auto"/>
            <w:right w:val="none" w:sz="0" w:space="0" w:color="auto"/>
          </w:divBdr>
          <w:divsChild>
            <w:div w:id="385761211">
              <w:marLeft w:val="0"/>
              <w:marRight w:val="0"/>
              <w:marTop w:val="0"/>
              <w:marBottom w:val="0"/>
              <w:divBdr>
                <w:top w:val="none" w:sz="0" w:space="0" w:color="auto"/>
                <w:left w:val="none" w:sz="0" w:space="0" w:color="auto"/>
                <w:bottom w:val="none" w:sz="0" w:space="0" w:color="auto"/>
                <w:right w:val="none" w:sz="0" w:space="0" w:color="auto"/>
              </w:divBdr>
              <w:divsChild>
                <w:div w:id="145551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46171">
      <w:bodyDiv w:val="1"/>
      <w:marLeft w:val="0"/>
      <w:marRight w:val="0"/>
      <w:marTop w:val="0"/>
      <w:marBottom w:val="0"/>
      <w:divBdr>
        <w:top w:val="none" w:sz="0" w:space="0" w:color="auto"/>
        <w:left w:val="none" w:sz="0" w:space="0" w:color="auto"/>
        <w:bottom w:val="none" w:sz="0" w:space="0" w:color="auto"/>
        <w:right w:val="none" w:sz="0" w:space="0" w:color="auto"/>
      </w:divBdr>
      <w:divsChild>
        <w:div w:id="6564930">
          <w:marLeft w:val="0"/>
          <w:marRight w:val="0"/>
          <w:marTop w:val="0"/>
          <w:marBottom w:val="0"/>
          <w:divBdr>
            <w:top w:val="none" w:sz="0" w:space="0" w:color="auto"/>
            <w:left w:val="none" w:sz="0" w:space="0" w:color="auto"/>
            <w:bottom w:val="none" w:sz="0" w:space="0" w:color="auto"/>
            <w:right w:val="none" w:sz="0" w:space="0" w:color="auto"/>
          </w:divBdr>
          <w:divsChild>
            <w:div w:id="269288014">
              <w:marLeft w:val="0"/>
              <w:marRight w:val="0"/>
              <w:marTop w:val="0"/>
              <w:marBottom w:val="0"/>
              <w:divBdr>
                <w:top w:val="none" w:sz="0" w:space="0" w:color="auto"/>
                <w:left w:val="none" w:sz="0" w:space="0" w:color="auto"/>
                <w:bottom w:val="none" w:sz="0" w:space="0" w:color="auto"/>
                <w:right w:val="none" w:sz="0" w:space="0" w:color="auto"/>
              </w:divBdr>
              <w:divsChild>
                <w:div w:id="915407492">
                  <w:marLeft w:val="0"/>
                  <w:marRight w:val="0"/>
                  <w:marTop w:val="0"/>
                  <w:marBottom w:val="0"/>
                  <w:divBdr>
                    <w:top w:val="none" w:sz="0" w:space="0" w:color="auto"/>
                    <w:left w:val="none" w:sz="0" w:space="0" w:color="auto"/>
                    <w:bottom w:val="none" w:sz="0" w:space="0" w:color="auto"/>
                    <w:right w:val="none" w:sz="0" w:space="0" w:color="auto"/>
                  </w:divBdr>
                  <w:divsChild>
                    <w:div w:id="145660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kingsfund.org.uk/publications/public-satisfaction-nhs-2016" TargetMode="External"/><Relationship Id="rId12" Type="http://schemas.openxmlformats.org/officeDocument/2006/relationships/hyperlink" Target="https://www.gov.uk/government%20/statistics/participation-rates-in-higher-education-2006-to-2016" TargetMode="Externa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universitiesuk.ac.uk/policy-and-analysis/reports/Documents/%202017/%20the-economic-impact-of-universities.pdf" TargetMode="External"/><Relationship Id="rId10" Type="http://schemas.openxmlformats.org/officeDocument/2006/relationships/hyperlink" Target="https://secondreading.uk/elections/the-public-and-parliament-more-engaged-less-satisfi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78ED3-78DE-514B-808D-6A55D2AA3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9</Pages>
  <Words>3079</Words>
  <Characters>17428</Characters>
  <Application>Microsoft Macintosh Word</Application>
  <DocSecurity>0</DocSecurity>
  <Lines>281</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Fincham</dc:creator>
  <cp:keywords/>
  <dc:description/>
  <cp:lastModifiedBy>Kenneth Fincham</cp:lastModifiedBy>
  <cp:revision>13</cp:revision>
  <cp:lastPrinted>2017-10-21T17:35:00Z</cp:lastPrinted>
  <dcterms:created xsi:type="dcterms:W3CDTF">2017-10-21T17:24:00Z</dcterms:created>
  <dcterms:modified xsi:type="dcterms:W3CDTF">2017-10-21T18:35:00Z</dcterms:modified>
</cp:coreProperties>
</file>