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85" w:rsidRDefault="0028303F">
      <w:pPr>
        <w:pStyle w:val="Header"/>
        <w:rPr>
          <w:rFonts w:ascii="Arial" w:eastAsia="Arial" w:hAnsi="Arial" w:cs="Arial"/>
          <w:color w:val="646464"/>
          <w:sz w:val="30"/>
          <w:szCs w:val="30"/>
          <w:u w:color="646464"/>
        </w:rPr>
      </w:pPr>
      <w:bookmarkStart w:id="0" w:name="_GoBack"/>
      <w:bookmarkEnd w:id="0"/>
      <w:r>
        <w:tab/>
      </w:r>
      <w:r>
        <w:rPr>
          <w:rFonts w:ascii="Arial"/>
          <w:color w:val="646464"/>
          <w:sz w:val="30"/>
          <w:szCs w:val="30"/>
          <w:u w:color="646464"/>
        </w:rPr>
        <w:t xml:space="preserve">   </w:t>
      </w:r>
    </w:p>
    <w:p w:rsidR="00753B85" w:rsidRDefault="0028303F">
      <w:pPr>
        <w:pStyle w:val="Body"/>
        <w:shd w:val="clear" w:color="auto" w:fill="FABF8F"/>
        <w:spacing w:after="0" w:line="240" w:lineRule="auto"/>
        <w:jc w:val="center"/>
        <w:outlineLvl w:val="1"/>
        <w:rPr>
          <w:rFonts w:ascii="Gill Sans MT" w:eastAsia="Gill Sans MT" w:hAnsi="Gill Sans MT" w:cs="Gill Sans MT"/>
          <w:b/>
          <w:bCs/>
          <w:color w:val="FFFFFF"/>
          <w:spacing w:val="15"/>
          <w:sz w:val="44"/>
          <w:szCs w:val="44"/>
          <w:u w:color="FFFFFF"/>
        </w:rPr>
      </w:pPr>
      <w:r>
        <w:rPr>
          <w:rFonts w:ascii="Gill Sans MT" w:eastAsia="Gill Sans MT" w:hAnsi="Gill Sans MT" w:cs="Gill Sans MT"/>
          <w:b/>
          <w:bCs/>
          <w:color w:val="FFFFFF"/>
          <w:spacing w:val="15"/>
          <w:sz w:val="44"/>
          <w:szCs w:val="44"/>
          <w:u w:color="FFFFFF"/>
        </w:rPr>
        <w:t xml:space="preserve">After Margaret </w:t>
      </w:r>
      <w:proofErr w:type="spellStart"/>
      <w:r>
        <w:rPr>
          <w:rFonts w:ascii="Gill Sans MT" w:eastAsia="Gill Sans MT" w:hAnsi="Gill Sans MT" w:cs="Gill Sans MT"/>
          <w:b/>
          <w:bCs/>
          <w:color w:val="FFFFFF"/>
          <w:spacing w:val="15"/>
          <w:sz w:val="44"/>
          <w:szCs w:val="44"/>
          <w:u w:color="FFFFFF"/>
        </w:rPr>
        <w:t>Spufford</w:t>
      </w:r>
      <w:proofErr w:type="spellEnd"/>
      <w:r>
        <w:rPr>
          <w:rFonts w:ascii="Gill Sans MT" w:eastAsia="Gill Sans MT" w:hAnsi="Gill Sans MT" w:cs="Gill Sans MT"/>
          <w:b/>
          <w:bCs/>
          <w:color w:val="FFFFFF"/>
          <w:spacing w:val="15"/>
          <w:sz w:val="44"/>
          <w:szCs w:val="44"/>
          <w:u w:color="FFFFFF"/>
        </w:rPr>
        <w:t>: English Local History Now</w:t>
      </w:r>
    </w:p>
    <w:p w:rsidR="00753B85" w:rsidRDefault="00753B85">
      <w:pPr>
        <w:pStyle w:val="Body"/>
        <w:shd w:val="clear" w:color="auto" w:fill="FFFFFF"/>
        <w:spacing w:after="0" w:line="240" w:lineRule="auto"/>
        <w:jc w:val="center"/>
        <w:outlineLvl w:val="1"/>
        <w:rPr>
          <w:rFonts w:ascii="Arial" w:eastAsia="Arial" w:hAnsi="Arial" w:cs="Arial"/>
          <w:color w:val="646464"/>
          <w:sz w:val="28"/>
          <w:szCs w:val="28"/>
          <w:u w:color="646464"/>
        </w:rPr>
      </w:pPr>
    </w:p>
    <w:p w:rsidR="00753B85" w:rsidRDefault="0028303F">
      <w:pPr>
        <w:pStyle w:val="Body"/>
        <w:shd w:val="clear" w:color="auto" w:fill="FFFFFF"/>
        <w:spacing w:after="0" w:line="240" w:lineRule="auto"/>
        <w:outlineLvl w:val="1"/>
        <w:rPr>
          <w:rFonts w:ascii="Gill Sans MT" w:eastAsia="Gill Sans MT" w:hAnsi="Gill Sans MT" w:cs="Gill Sans MT"/>
          <w:color w:val="808080"/>
          <w:sz w:val="36"/>
          <w:szCs w:val="36"/>
          <w:u w:color="808080"/>
        </w:rPr>
      </w:pPr>
      <w:r>
        <w:rPr>
          <w:rFonts w:ascii="Gill Sans MT" w:eastAsia="Gill Sans MT" w:hAnsi="Gill Sans MT" w:cs="Gill Sans MT"/>
          <w:color w:val="808080"/>
          <w:sz w:val="36"/>
          <w:szCs w:val="36"/>
          <w:u w:color="808080"/>
          <w:lang w:val="nl-NL"/>
        </w:rPr>
        <w:t>Programme schedule</w:t>
      </w:r>
    </w:p>
    <w:p w:rsidR="00753B85" w:rsidRDefault="00753B85">
      <w:pPr>
        <w:pStyle w:val="Body"/>
        <w:shd w:val="clear" w:color="auto" w:fill="FFFFFF"/>
        <w:spacing w:after="0" w:line="240" w:lineRule="auto"/>
        <w:outlineLvl w:val="1"/>
        <w:rPr>
          <w:rFonts w:ascii="Gill Sans MT" w:eastAsia="Gill Sans MT" w:hAnsi="Gill Sans MT" w:cs="Gill Sans MT"/>
          <w:color w:val="808080"/>
          <w:sz w:val="28"/>
          <w:szCs w:val="28"/>
          <w:u w:color="808080"/>
        </w:rPr>
      </w:pPr>
    </w:p>
    <w:p w:rsidR="00753B85" w:rsidRDefault="0028303F">
      <w:pPr>
        <w:pStyle w:val="Body"/>
        <w:widowControl w:val="0"/>
        <w:shd w:val="clear" w:color="auto" w:fill="FFFFFF"/>
        <w:spacing w:after="0" w:line="240" w:lineRule="auto"/>
        <w:outlineLvl w:val="1"/>
        <w:rPr>
          <w:rFonts w:ascii="Gill Sans MT" w:eastAsia="Gill Sans MT" w:hAnsi="Gill Sans MT" w:cs="Gill Sans MT"/>
          <w:color w:val="808080"/>
          <w:sz w:val="28"/>
          <w:szCs w:val="28"/>
          <w:u w:color="808080"/>
        </w:rPr>
      </w:pPr>
      <w:r>
        <w:rPr>
          <w:rFonts w:ascii="Gill Sans MT" w:eastAsia="Gill Sans MT" w:hAnsi="Gill Sans MT" w:cs="Gill Sans MT"/>
          <w:color w:val="808080"/>
          <w:sz w:val="28"/>
          <w:szCs w:val="28"/>
          <w:u w:color="808080"/>
        </w:rPr>
        <w:t>Friday 19</w:t>
      </w:r>
    </w:p>
    <w:tbl>
      <w:tblPr>
        <w:tblW w:w="141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939"/>
      </w:tblGrid>
      <w:tr w:rsidR="00753B85">
        <w:trPr>
          <w:trHeight w:val="2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B85" w:rsidRDefault="0028303F">
            <w:pPr>
              <w:pStyle w:val="Body"/>
            </w:pPr>
            <w:r>
              <w:t>9.30-10.00</w:t>
            </w:r>
          </w:p>
        </w:tc>
        <w:tc>
          <w:tcPr>
            <w:tcW w:w="1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B85" w:rsidRDefault="0028303F">
            <w:pPr>
              <w:pStyle w:val="Body"/>
              <w:spacing w:after="0" w:line="240" w:lineRule="auto"/>
            </w:pPr>
            <w:r>
              <w:t xml:space="preserve">Welcome (Prof. Peter </w:t>
            </w:r>
            <w:proofErr w:type="spellStart"/>
            <w:r>
              <w:t>Spufford</w:t>
            </w:r>
            <w:proofErr w:type="spellEnd"/>
            <w:r>
              <w:t>, TBC)</w:t>
            </w:r>
          </w:p>
        </w:tc>
      </w:tr>
      <w:tr w:rsidR="00753B85">
        <w:trPr>
          <w:trHeight w:val="193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B85" w:rsidRDefault="0028303F">
            <w:pPr>
              <w:pStyle w:val="Body"/>
              <w:spacing w:after="0" w:line="240" w:lineRule="auto"/>
            </w:pPr>
            <w:r>
              <w:t>10.00-11.30</w:t>
            </w:r>
          </w:p>
        </w:tc>
        <w:tc>
          <w:tcPr>
            <w:tcW w:w="1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B85" w:rsidRDefault="0028303F">
            <w:pPr>
              <w:pStyle w:val="Body"/>
              <w:spacing w:after="0" w:line="240" w:lineRule="auto"/>
            </w:pPr>
            <w:r>
              <w:t>Taxation, wealth and poverty</w:t>
            </w:r>
          </w:p>
          <w:p w:rsidR="00753B85" w:rsidRDefault="00753B85">
            <w:pPr>
              <w:pStyle w:val="Body"/>
              <w:spacing w:after="0" w:line="240" w:lineRule="auto"/>
            </w:pPr>
          </w:p>
          <w:p w:rsidR="00753B85" w:rsidRDefault="0028303F">
            <w:pPr>
              <w:pStyle w:val="Body"/>
              <w:spacing w:after="0" w:line="240" w:lineRule="auto"/>
            </w:pPr>
            <w:r>
              <w:t xml:space="preserve">Catherine Ferguson. General Editor, British Record Society, ‘Wealth and </w:t>
            </w:r>
            <w:r>
              <w:t>poverty in the late 17</w:t>
            </w:r>
            <w:r>
              <w:rPr>
                <w:vertAlign w:val="superscript"/>
              </w:rPr>
              <w:t>th</w:t>
            </w:r>
            <w:r>
              <w:t xml:space="preserve"> century in the parish of </w:t>
            </w:r>
            <w:proofErr w:type="spellStart"/>
            <w:r>
              <w:t>Woking</w:t>
            </w:r>
            <w:proofErr w:type="spellEnd"/>
            <w:r>
              <w:t xml:space="preserve"> in Surrey as seen through the hearth tax.’</w:t>
            </w:r>
          </w:p>
          <w:p w:rsidR="00753B85" w:rsidRDefault="0028303F">
            <w:pPr>
              <w:pStyle w:val="Body"/>
              <w:spacing w:after="0" w:line="240" w:lineRule="auto"/>
            </w:pPr>
            <w:proofErr w:type="spellStart"/>
            <w:r>
              <w:t>D’Maris</w:t>
            </w:r>
            <w:proofErr w:type="spellEnd"/>
            <w:r>
              <w:t xml:space="preserve"> Coffman, </w:t>
            </w:r>
            <w:proofErr w:type="spellStart"/>
            <w:r>
              <w:t>Newnham</w:t>
            </w:r>
            <w:proofErr w:type="spellEnd"/>
            <w:r>
              <w:t xml:space="preserve"> College, Cambridge, Title TBC</w:t>
            </w:r>
          </w:p>
          <w:p w:rsidR="00753B85" w:rsidRDefault="0028303F">
            <w:pPr>
              <w:pStyle w:val="Body"/>
              <w:spacing w:after="0" w:line="240" w:lineRule="auto"/>
            </w:pPr>
            <w:r>
              <w:t>Andrew Wareham and John Price, British Academy Hearth Tax Project and Centre for Hearth Tax Research,</w:t>
            </w:r>
            <w:r>
              <w:t xml:space="preserve"> University of Roehampton, ‘The Hearth Tax and the People of Restoration London’</w:t>
            </w:r>
          </w:p>
        </w:tc>
      </w:tr>
      <w:tr w:rsidR="00753B85">
        <w:trPr>
          <w:trHeight w:val="2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B85" w:rsidRDefault="0028303F">
            <w:pPr>
              <w:pStyle w:val="Body"/>
              <w:spacing w:after="0" w:line="240" w:lineRule="auto"/>
            </w:pPr>
            <w:r>
              <w:t>11.30-12.00</w:t>
            </w:r>
          </w:p>
        </w:tc>
        <w:tc>
          <w:tcPr>
            <w:tcW w:w="1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B85" w:rsidRDefault="0028303F">
            <w:pPr>
              <w:pStyle w:val="Body"/>
              <w:spacing w:after="0" w:line="240" w:lineRule="auto"/>
            </w:pPr>
            <w:r>
              <w:t>coffee break</w:t>
            </w:r>
          </w:p>
        </w:tc>
      </w:tr>
      <w:tr w:rsidR="00753B85">
        <w:trPr>
          <w:trHeight w:val="14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B85" w:rsidRDefault="0028303F">
            <w:pPr>
              <w:pStyle w:val="Body"/>
              <w:spacing w:after="0" w:line="240" w:lineRule="auto"/>
            </w:pPr>
            <w:r>
              <w:t>12.00-13.30</w:t>
            </w:r>
          </w:p>
        </w:tc>
        <w:tc>
          <w:tcPr>
            <w:tcW w:w="1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B85" w:rsidRDefault="0028303F">
            <w:pPr>
              <w:pStyle w:val="Body"/>
              <w:spacing w:after="0" w:line="240" w:lineRule="auto"/>
            </w:pPr>
            <w:r>
              <w:t>The Hearth Tax  Project: New Research</w:t>
            </w:r>
          </w:p>
          <w:p w:rsidR="00753B85" w:rsidRDefault="00753B85">
            <w:pPr>
              <w:pStyle w:val="Body"/>
              <w:spacing w:after="0" w:line="240" w:lineRule="auto"/>
            </w:pPr>
          </w:p>
          <w:p w:rsidR="00753B85" w:rsidRDefault="0028303F">
            <w:pPr>
              <w:pStyle w:val="Body"/>
              <w:spacing w:after="0" w:line="240" w:lineRule="auto"/>
            </w:pPr>
            <w:r>
              <w:t>Adrian Ailes, The National Archives, Kew, 'The Heralds and the Hearth Tax'</w:t>
            </w:r>
          </w:p>
          <w:p w:rsidR="00753B85" w:rsidRDefault="0028303F">
            <w:pPr>
              <w:pStyle w:val="Body"/>
              <w:spacing w:after="0" w:line="240" w:lineRule="auto"/>
            </w:pPr>
            <w:r>
              <w:t xml:space="preserve">Peter Edwards, University of Roehampton, ‘The Hearth Tax and differing agricultural regions in Surrey’ </w:t>
            </w:r>
          </w:p>
          <w:p w:rsidR="00753B85" w:rsidRDefault="0028303F">
            <w:pPr>
              <w:pStyle w:val="Body"/>
              <w:tabs>
                <w:tab w:val="left" w:pos="2640"/>
              </w:tabs>
              <w:spacing w:after="0" w:line="240" w:lineRule="auto"/>
            </w:pPr>
            <w:r>
              <w:t>Elizabeth Parkinson,  ‘New research in the hearth tax’</w:t>
            </w:r>
          </w:p>
        </w:tc>
      </w:tr>
      <w:tr w:rsidR="00753B85">
        <w:trPr>
          <w:trHeight w:val="2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B85" w:rsidRDefault="0028303F">
            <w:pPr>
              <w:pStyle w:val="Body"/>
              <w:spacing w:after="0" w:line="240" w:lineRule="auto"/>
            </w:pPr>
            <w:r>
              <w:t>13.30-14.30</w:t>
            </w:r>
          </w:p>
        </w:tc>
        <w:tc>
          <w:tcPr>
            <w:tcW w:w="1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B85" w:rsidRDefault="0028303F">
            <w:pPr>
              <w:pStyle w:val="Body"/>
              <w:spacing w:after="0" w:line="240" w:lineRule="auto"/>
            </w:pPr>
            <w:r>
              <w:t>Lunch</w:t>
            </w:r>
          </w:p>
        </w:tc>
      </w:tr>
      <w:tr w:rsidR="00753B85">
        <w:trPr>
          <w:trHeight w:val="179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B85" w:rsidRDefault="0028303F">
            <w:pPr>
              <w:pStyle w:val="Body"/>
              <w:spacing w:after="0" w:line="240" w:lineRule="auto"/>
            </w:pPr>
            <w:r>
              <w:lastRenderedPageBreak/>
              <w:t>14.30-16.00</w:t>
            </w:r>
          </w:p>
        </w:tc>
        <w:tc>
          <w:tcPr>
            <w:tcW w:w="1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B85" w:rsidRDefault="0028303F">
            <w:pPr>
              <w:pStyle w:val="Body"/>
              <w:spacing w:after="0" w:line="240" w:lineRule="auto"/>
            </w:pPr>
            <w:r>
              <w:t xml:space="preserve">Credit, Community and the Household: the Evidence of Probate and </w:t>
            </w:r>
            <w:r>
              <w:t>Wills</w:t>
            </w:r>
          </w:p>
          <w:p w:rsidR="00753B85" w:rsidRDefault="00753B85">
            <w:pPr>
              <w:pStyle w:val="Body"/>
              <w:spacing w:after="0" w:line="240" w:lineRule="auto"/>
            </w:pPr>
          </w:p>
          <w:p w:rsidR="00753B85" w:rsidRDefault="0028303F">
            <w:pPr>
              <w:pStyle w:val="Body"/>
              <w:spacing w:after="0" w:line="240" w:lineRule="auto"/>
            </w:pPr>
            <w:r>
              <w:t>Moto Takahashi,</w:t>
            </w:r>
            <w:r>
              <w:rPr>
                <w:rFonts w:ascii="Gill Sans MT" w:eastAsia="Gill Sans MT" w:hAnsi="Gill Sans MT" w:cs="Gill Sans MT"/>
                <w:color w:val="646464"/>
                <w:sz w:val="28"/>
                <w:szCs w:val="28"/>
                <w:u w:color="646464"/>
              </w:rPr>
              <w:t xml:space="preserve"> </w:t>
            </w:r>
            <w:r>
              <w:t>Ehime University (Matsuyama), 'Budget of family and household: an empirical historical study for the paralleling and contrasting of regions in Japan and Europe'</w:t>
            </w:r>
          </w:p>
          <w:p w:rsidR="00753B85" w:rsidRDefault="0028303F">
            <w:pPr>
              <w:pStyle w:val="Body"/>
              <w:spacing w:after="0" w:line="240" w:lineRule="auto"/>
            </w:pPr>
            <w:r>
              <w:t xml:space="preserve">Patricia Wyllie, University of Cambridge, ‘Early modern credit in wills </w:t>
            </w:r>
            <w:r>
              <w:t>and probate records’</w:t>
            </w:r>
          </w:p>
          <w:p w:rsidR="00753B85" w:rsidRDefault="0028303F">
            <w:pPr>
              <w:pStyle w:val="Body"/>
              <w:spacing w:after="0" w:line="240" w:lineRule="auto"/>
            </w:pPr>
            <w:r>
              <w:t xml:space="preserve">Mary Carrick, University of Hull, ‘ A Peculiar Parish: </w:t>
            </w:r>
            <w:proofErr w:type="spellStart"/>
            <w:r>
              <w:t>Wawne</w:t>
            </w:r>
            <w:proofErr w:type="spellEnd"/>
            <w:r>
              <w:t xml:space="preserve">, alias </w:t>
            </w:r>
            <w:proofErr w:type="spellStart"/>
            <w:r>
              <w:t>Waghen</w:t>
            </w:r>
            <w:proofErr w:type="spellEnd"/>
            <w:r>
              <w:t>, in Holderness, East Riding of Yorkshire, 1540-1740’</w:t>
            </w:r>
          </w:p>
        </w:tc>
      </w:tr>
      <w:tr w:rsidR="00753B85">
        <w:trPr>
          <w:trHeight w:val="2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B85" w:rsidRDefault="0028303F">
            <w:pPr>
              <w:pStyle w:val="Body"/>
              <w:spacing w:after="0" w:line="240" w:lineRule="auto"/>
            </w:pPr>
            <w:r>
              <w:t>16.00-16.30</w:t>
            </w:r>
          </w:p>
        </w:tc>
        <w:tc>
          <w:tcPr>
            <w:tcW w:w="1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B85" w:rsidRDefault="0028303F">
            <w:pPr>
              <w:pStyle w:val="Body"/>
              <w:spacing w:after="0" w:line="240" w:lineRule="auto"/>
            </w:pPr>
            <w:r>
              <w:t>coffee break</w:t>
            </w:r>
          </w:p>
        </w:tc>
      </w:tr>
      <w:tr w:rsidR="00753B85">
        <w:trPr>
          <w:trHeight w:val="169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B85" w:rsidRDefault="0028303F">
            <w:pPr>
              <w:pStyle w:val="Body"/>
              <w:spacing w:after="0" w:line="240" w:lineRule="auto"/>
            </w:pPr>
            <w:r>
              <w:t>16.30-18.00</w:t>
            </w:r>
          </w:p>
        </w:tc>
        <w:tc>
          <w:tcPr>
            <w:tcW w:w="1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B85" w:rsidRDefault="0028303F">
            <w:pPr>
              <w:pStyle w:val="Body"/>
              <w:spacing w:after="0" w:line="240" w:lineRule="auto"/>
            </w:pPr>
            <w:r>
              <w:t>Micro-History</w:t>
            </w:r>
          </w:p>
          <w:p w:rsidR="00753B85" w:rsidRDefault="00753B85">
            <w:pPr>
              <w:pStyle w:val="Body"/>
              <w:spacing w:after="0" w:line="240" w:lineRule="auto"/>
            </w:pPr>
          </w:p>
          <w:p w:rsidR="00753B85" w:rsidRDefault="0028303F">
            <w:pPr>
              <w:pStyle w:val="Body"/>
              <w:spacing w:after="0" w:line="240" w:lineRule="auto"/>
            </w:pPr>
            <w:r>
              <w:t xml:space="preserve">Steven </w:t>
            </w:r>
            <w:proofErr w:type="spellStart"/>
            <w:r>
              <w:t>Hindle</w:t>
            </w:r>
            <w:proofErr w:type="spellEnd"/>
            <w:r>
              <w:t xml:space="preserve">, Huntington Library, ‘The </w:t>
            </w:r>
            <w:r>
              <w:t>micro-management of a late 17th c. landed estate.’</w:t>
            </w:r>
          </w:p>
          <w:p w:rsidR="00753B85" w:rsidRDefault="0028303F">
            <w:pPr>
              <w:pStyle w:val="Body"/>
              <w:spacing w:after="0" w:line="240" w:lineRule="auto"/>
            </w:pPr>
            <w:r>
              <w:t xml:space="preserve">Keith </w:t>
            </w:r>
            <w:proofErr w:type="spellStart"/>
            <w:r>
              <w:t>Wrightson</w:t>
            </w:r>
            <w:proofErr w:type="spellEnd"/>
            <w:r>
              <w:t>, Yale University, Title TBC.</w:t>
            </w:r>
          </w:p>
          <w:p w:rsidR="00753B85" w:rsidRDefault="0028303F">
            <w:pPr>
              <w:pStyle w:val="Body"/>
              <w:spacing w:after="0" w:line="240" w:lineRule="auto"/>
            </w:pPr>
            <w:r>
              <w:t xml:space="preserve">Brodie Waddell, </w:t>
            </w:r>
            <w:proofErr w:type="spellStart"/>
            <w:r>
              <w:t>Birkbeck</w:t>
            </w:r>
            <w:proofErr w:type="spellEnd"/>
            <w:r>
              <w:t xml:space="preserve">, University of London, ‘The </w:t>
            </w:r>
            <w:proofErr w:type="spellStart"/>
            <w:r>
              <w:t>Woolcomber’s</w:t>
            </w:r>
            <w:proofErr w:type="spellEnd"/>
            <w:r>
              <w:t xml:space="preserve"> World: Faith, Family, Fraternity and Fighting Cocks in Later Stuart Essex’</w:t>
            </w:r>
            <w:r>
              <w:br/>
            </w:r>
          </w:p>
        </w:tc>
      </w:tr>
    </w:tbl>
    <w:p w:rsidR="00753B85" w:rsidRDefault="00753B85">
      <w:pPr>
        <w:pStyle w:val="Body"/>
        <w:widowControl w:val="0"/>
        <w:shd w:val="clear" w:color="auto" w:fill="FFFFFF"/>
        <w:spacing w:after="0" w:line="240" w:lineRule="auto"/>
        <w:outlineLvl w:val="1"/>
        <w:rPr>
          <w:rFonts w:ascii="Gill Sans MT" w:eastAsia="Gill Sans MT" w:hAnsi="Gill Sans MT" w:cs="Gill Sans MT"/>
          <w:color w:val="808080"/>
          <w:sz w:val="28"/>
          <w:szCs w:val="28"/>
          <w:u w:color="808080"/>
        </w:rPr>
      </w:pPr>
    </w:p>
    <w:p w:rsidR="00753B85" w:rsidRDefault="00753B85">
      <w:pPr>
        <w:pStyle w:val="Body"/>
        <w:shd w:val="clear" w:color="auto" w:fill="FFFFFF"/>
        <w:spacing w:after="0" w:line="240" w:lineRule="auto"/>
        <w:outlineLvl w:val="1"/>
        <w:rPr>
          <w:rFonts w:ascii="Gill Sans MT" w:eastAsia="Gill Sans MT" w:hAnsi="Gill Sans MT" w:cs="Gill Sans MT"/>
          <w:color w:val="808080"/>
          <w:sz w:val="32"/>
          <w:szCs w:val="32"/>
          <w:u w:color="808080"/>
        </w:rPr>
      </w:pPr>
    </w:p>
    <w:p w:rsidR="00753B85" w:rsidRDefault="0028303F">
      <w:pPr>
        <w:pStyle w:val="Body"/>
        <w:widowControl w:val="0"/>
        <w:shd w:val="clear" w:color="auto" w:fill="FFFFFF"/>
        <w:spacing w:after="0" w:line="240" w:lineRule="auto"/>
        <w:outlineLvl w:val="1"/>
        <w:rPr>
          <w:rFonts w:ascii="Gill Sans MT" w:eastAsia="Gill Sans MT" w:hAnsi="Gill Sans MT" w:cs="Gill Sans MT"/>
          <w:color w:val="808080"/>
          <w:sz w:val="28"/>
          <w:szCs w:val="28"/>
          <w:u w:color="808080"/>
        </w:rPr>
      </w:pPr>
      <w:r>
        <w:rPr>
          <w:rFonts w:ascii="Gill Sans MT" w:eastAsia="Gill Sans MT" w:hAnsi="Gill Sans MT" w:cs="Gill Sans MT"/>
          <w:color w:val="808080"/>
          <w:sz w:val="28"/>
          <w:szCs w:val="28"/>
          <w:u w:color="808080"/>
        </w:rPr>
        <w:t>Saturday 20</w:t>
      </w:r>
    </w:p>
    <w:tbl>
      <w:tblPr>
        <w:tblW w:w="141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939"/>
      </w:tblGrid>
      <w:tr w:rsidR="00753B85">
        <w:trPr>
          <w:trHeight w:val="21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B85" w:rsidRDefault="0028303F">
            <w:pPr>
              <w:pStyle w:val="Body"/>
            </w:pPr>
            <w:r>
              <w:t>9.3</w:t>
            </w:r>
            <w:r>
              <w:t>0-11.00</w:t>
            </w:r>
          </w:p>
        </w:tc>
        <w:tc>
          <w:tcPr>
            <w:tcW w:w="1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B85" w:rsidRDefault="0028303F">
            <w:pPr>
              <w:pStyle w:val="Body"/>
              <w:spacing w:after="0" w:line="240" w:lineRule="auto"/>
            </w:pPr>
            <w:r>
              <w:t>Identity, community and religion</w:t>
            </w:r>
          </w:p>
          <w:p w:rsidR="00753B85" w:rsidRDefault="00753B85">
            <w:pPr>
              <w:pStyle w:val="Body"/>
              <w:spacing w:after="0" w:line="240" w:lineRule="auto"/>
            </w:pPr>
          </w:p>
          <w:p w:rsidR="00753B85" w:rsidRDefault="0028303F">
            <w:pPr>
              <w:pStyle w:val="Body"/>
              <w:spacing w:after="0" w:line="240" w:lineRule="auto"/>
            </w:pPr>
            <w:r>
              <w:t xml:space="preserve">Bill </w:t>
            </w:r>
            <w:proofErr w:type="spellStart"/>
            <w:r>
              <w:t>Shiels</w:t>
            </w:r>
            <w:proofErr w:type="spellEnd"/>
            <w:r>
              <w:t xml:space="preserve">, York University, </w:t>
            </w:r>
            <w:proofErr w:type="gramStart"/>
            <w:r>
              <w:t>‘ A</w:t>
            </w:r>
            <w:proofErr w:type="gramEnd"/>
            <w:r>
              <w:t xml:space="preserve"> triangular relationship? Catholics, Nonconformists and the Established Church in the local context’</w:t>
            </w:r>
          </w:p>
          <w:p w:rsidR="00753B85" w:rsidRDefault="0028303F">
            <w:pPr>
              <w:pStyle w:val="Body"/>
              <w:spacing w:after="0" w:line="240" w:lineRule="auto"/>
            </w:pPr>
            <w:r>
              <w:t xml:space="preserve">Henry French, University of Exeter, ‘Social and religious change in the </w:t>
            </w:r>
            <w:r>
              <w:t xml:space="preserve">sixteenth and seventeenth century, based on the Essex village of Earls </w:t>
            </w:r>
            <w:proofErr w:type="spellStart"/>
            <w:r>
              <w:t>Colne</w:t>
            </w:r>
            <w:proofErr w:type="spellEnd"/>
            <w:r>
              <w:t>’</w:t>
            </w:r>
          </w:p>
          <w:p w:rsidR="00753B85" w:rsidRDefault="0028303F">
            <w:pPr>
              <w:pStyle w:val="Body"/>
              <w:spacing w:after="0" w:line="240" w:lineRule="auto"/>
            </w:pPr>
            <w:r>
              <w:t xml:space="preserve">David </w:t>
            </w:r>
            <w:proofErr w:type="spellStart"/>
            <w:r>
              <w:t>Cressy</w:t>
            </w:r>
            <w:proofErr w:type="spellEnd"/>
            <w:r>
              <w:t xml:space="preserve">, Claremont Graduate University, 'Marginal people in a stressful culture: Itinerants, Gypsies, and 'counterfeit Egyptians.'  </w:t>
            </w:r>
          </w:p>
        </w:tc>
      </w:tr>
      <w:tr w:rsidR="00753B85">
        <w:trPr>
          <w:trHeight w:val="2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B85" w:rsidRDefault="0028303F">
            <w:pPr>
              <w:pStyle w:val="Body"/>
              <w:spacing w:after="0" w:line="240" w:lineRule="auto"/>
            </w:pPr>
            <w:r>
              <w:lastRenderedPageBreak/>
              <w:t>11.00-11.30</w:t>
            </w:r>
          </w:p>
        </w:tc>
        <w:tc>
          <w:tcPr>
            <w:tcW w:w="1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B85" w:rsidRDefault="0028303F">
            <w:pPr>
              <w:pStyle w:val="Body"/>
              <w:spacing w:after="0" w:line="240" w:lineRule="auto"/>
            </w:pPr>
            <w:r>
              <w:t>coffee break</w:t>
            </w:r>
          </w:p>
        </w:tc>
      </w:tr>
      <w:tr w:rsidR="00753B85">
        <w:trPr>
          <w:trHeight w:val="20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B85" w:rsidRDefault="0028303F">
            <w:pPr>
              <w:pStyle w:val="Body"/>
              <w:spacing w:after="0" w:line="240" w:lineRule="auto"/>
            </w:pPr>
            <w:r>
              <w:t>11.30-13.00</w:t>
            </w:r>
          </w:p>
        </w:tc>
        <w:tc>
          <w:tcPr>
            <w:tcW w:w="1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B85" w:rsidRDefault="0028303F">
            <w:pPr>
              <w:pStyle w:val="Body"/>
              <w:spacing w:after="0" w:line="240" w:lineRule="auto"/>
            </w:pPr>
            <w:r>
              <w:t>Women’s lives and work</w:t>
            </w:r>
          </w:p>
          <w:p w:rsidR="00753B85" w:rsidRDefault="00753B85">
            <w:pPr>
              <w:pStyle w:val="Body"/>
              <w:spacing w:after="0" w:line="240" w:lineRule="auto"/>
            </w:pPr>
          </w:p>
          <w:p w:rsidR="00753B85" w:rsidRDefault="0028303F">
            <w:pPr>
              <w:pStyle w:val="Body"/>
              <w:spacing w:after="0" w:line="240" w:lineRule="auto"/>
            </w:pPr>
            <w:r>
              <w:t>Amy Erickson, University of Cambridge, Title TBC - some aspect of women's work, probably London 17C.</w:t>
            </w:r>
            <w:r>
              <w:tab/>
            </w:r>
          </w:p>
          <w:p w:rsidR="00753B85" w:rsidRDefault="0028303F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</w:rPr>
            </w:pPr>
            <w:proofErr w:type="spellStart"/>
            <w:r>
              <w:t>Danae</w:t>
            </w:r>
            <w:proofErr w:type="spellEnd"/>
            <w:r>
              <w:t xml:space="preserve"> Tankard, University of </w:t>
            </w:r>
            <w:proofErr w:type="spellStart"/>
            <w:r>
              <w:t>Chichester</w:t>
            </w:r>
            <w:proofErr w:type="spellEnd"/>
            <w:r>
              <w:t>, ‘Textiles and Clothing in 17</w:t>
            </w:r>
            <w:r>
              <w:rPr>
                <w:vertAlign w:val="superscript"/>
              </w:rPr>
              <w:t>th</w:t>
            </w:r>
            <w:r>
              <w:t>-century England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.’</w:t>
            </w:r>
          </w:p>
          <w:p w:rsidR="00753B85" w:rsidRDefault="0028303F">
            <w:pPr>
              <w:pStyle w:val="Body"/>
              <w:spacing w:after="0" w:line="240" w:lineRule="auto"/>
              <w:jc w:val="both"/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Amanda </w:t>
            </w:r>
            <w:proofErr w:type="spellStart"/>
            <w:r>
              <w:rPr>
                <w:rFonts w:ascii="Gill Sans MT" w:eastAsia="Gill Sans MT" w:hAnsi="Gill Sans MT" w:cs="Gill Sans MT"/>
                <w:sz w:val="24"/>
                <w:szCs w:val="24"/>
              </w:rPr>
              <w:t>Pullan</w:t>
            </w:r>
            <w:proofErr w:type="spellEnd"/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, University of Lancaster, </w:t>
            </w:r>
            <w:r>
              <w:t>'Seventeenth-century women learning Latin: how exceptional was it?'</w:t>
            </w:r>
          </w:p>
          <w:p w:rsidR="00753B85" w:rsidRDefault="00753B85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  <w:p w:rsidR="00753B85" w:rsidRDefault="00753B85">
            <w:pPr>
              <w:pStyle w:val="Body"/>
              <w:spacing w:after="0" w:line="240" w:lineRule="auto"/>
            </w:pPr>
          </w:p>
        </w:tc>
      </w:tr>
      <w:tr w:rsidR="00753B85">
        <w:trPr>
          <w:trHeight w:val="2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B85" w:rsidRDefault="0028303F">
            <w:pPr>
              <w:pStyle w:val="Body"/>
              <w:spacing w:after="0" w:line="240" w:lineRule="auto"/>
            </w:pPr>
            <w:r>
              <w:t>13.00-14.00</w:t>
            </w:r>
          </w:p>
        </w:tc>
        <w:tc>
          <w:tcPr>
            <w:tcW w:w="1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B85" w:rsidRDefault="0028303F">
            <w:pPr>
              <w:pStyle w:val="Body"/>
              <w:spacing w:after="0" w:line="240" w:lineRule="auto"/>
            </w:pPr>
            <w:r>
              <w:t>lunch</w:t>
            </w:r>
          </w:p>
        </w:tc>
      </w:tr>
      <w:tr w:rsidR="00753B85">
        <w:trPr>
          <w:trHeight w:val="2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B85" w:rsidRDefault="0028303F">
            <w:pPr>
              <w:pStyle w:val="Body"/>
              <w:spacing w:after="0" w:line="240" w:lineRule="auto"/>
            </w:pPr>
            <w:r>
              <w:t>14.00-15.30</w:t>
            </w:r>
          </w:p>
        </w:tc>
        <w:tc>
          <w:tcPr>
            <w:tcW w:w="1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B85" w:rsidRDefault="0028303F">
            <w:pPr>
              <w:pStyle w:val="Body"/>
              <w:spacing w:after="0" w:line="240" w:lineRule="auto"/>
            </w:pPr>
            <w:r>
              <w:t>Plenary/roundtable discussion</w:t>
            </w:r>
          </w:p>
        </w:tc>
      </w:tr>
    </w:tbl>
    <w:p w:rsidR="00753B85" w:rsidRDefault="00753B85">
      <w:pPr>
        <w:pStyle w:val="Body"/>
        <w:widowControl w:val="0"/>
        <w:shd w:val="clear" w:color="auto" w:fill="FFFFFF"/>
        <w:spacing w:after="0" w:line="240" w:lineRule="auto"/>
        <w:outlineLvl w:val="1"/>
        <w:rPr>
          <w:rFonts w:ascii="Gill Sans MT" w:eastAsia="Gill Sans MT" w:hAnsi="Gill Sans MT" w:cs="Gill Sans MT"/>
          <w:color w:val="808080"/>
          <w:sz w:val="28"/>
          <w:szCs w:val="28"/>
          <w:u w:color="808080"/>
        </w:rPr>
      </w:pPr>
    </w:p>
    <w:p w:rsidR="00753B85" w:rsidRDefault="0028303F">
      <w:pPr>
        <w:pStyle w:val="Body"/>
        <w:shd w:val="clear" w:color="auto" w:fill="FFFFFF"/>
        <w:spacing w:after="0" w:line="240" w:lineRule="auto"/>
        <w:outlineLvl w:val="1"/>
      </w:pPr>
      <w:r>
        <w:rPr>
          <w:rFonts w:ascii="Gill Sans MT" w:eastAsia="Gill Sans MT" w:hAnsi="Gill Sans MT" w:cs="Gill Sans MT"/>
          <w:color w:val="808080"/>
          <w:sz w:val="40"/>
          <w:szCs w:val="40"/>
          <w:u w:color="808080"/>
        </w:rPr>
        <w:br/>
      </w:r>
      <w:r>
        <w:rPr>
          <w:rFonts w:ascii="Gill Sans MT" w:eastAsia="Gill Sans MT" w:hAnsi="Gill Sans MT" w:cs="Gill Sans MT"/>
          <w:color w:val="808080"/>
          <w:sz w:val="28"/>
          <w:szCs w:val="28"/>
          <w:u w:color="808080"/>
        </w:rPr>
        <w:br w:type="page"/>
      </w:r>
    </w:p>
    <w:p w:rsidR="00753B85" w:rsidRDefault="0028303F">
      <w:pPr>
        <w:pStyle w:val="Body"/>
        <w:shd w:val="clear" w:color="auto" w:fill="FFFFFF"/>
        <w:spacing w:after="0" w:line="240" w:lineRule="auto"/>
        <w:outlineLvl w:val="1"/>
      </w:pPr>
      <w:r>
        <w:rPr>
          <w:rFonts w:ascii="Gill Sans MT" w:eastAsia="Gill Sans MT" w:hAnsi="Gill Sans MT" w:cs="Gill Sans MT"/>
          <w:color w:val="808080"/>
          <w:sz w:val="28"/>
          <w:szCs w:val="28"/>
          <w:u w:color="808080"/>
        </w:rPr>
        <w:lastRenderedPageBreak/>
        <w:br w:type="page"/>
      </w:r>
    </w:p>
    <w:p w:rsidR="00753B85" w:rsidRDefault="00753B85">
      <w:pPr>
        <w:pStyle w:val="Body"/>
        <w:shd w:val="clear" w:color="auto" w:fill="FFFFFF"/>
        <w:spacing w:after="0" w:line="240" w:lineRule="auto"/>
        <w:outlineLvl w:val="1"/>
      </w:pPr>
    </w:p>
    <w:sectPr w:rsidR="00753B85">
      <w:headerReference w:type="default" r:id="rId6"/>
      <w:footerReference w:type="default" r:id="rId7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03F" w:rsidRDefault="0028303F">
      <w:r>
        <w:separator/>
      </w:r>
    </w:p>
  </w:endnote>
  <w:endnote w:type="continuationSeparator" w:id="0">
    <w:p w:rsidR="0028303F" w:rsidRDefault="0028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B85" w:rsidRDefault="00753B8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03F" w:rsidRDefault="0028303F">
      <w:r>
        <w:separator/>
      </w:r>
    </w:p>
  </w:footnote>
  <w:footnote w:type="continuationSeparator" w:id="0">
    <w:p w:rsidR="0028303F" w:rsidRDefault="00283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B85" w:rsidRDefault="0028303F">
    <w:pPr>
      <w:pStyle w:val="Header"/>
      <w:rPr>
        <w:rFonts w:ascii="Arial" w:eastAsia="Arial" w:hAnsi="Arial" w:cs="Arial"/>
        <w:color w:val="646464"/>
        <w:sz w:val="30"/>
        <w:szCs w:val="30"/>
        <w:u w:color="646464"/>
      </w:rPr>
    </w:pPr>
    <w:r>
      <w:rPr>
        <w:rFonts w:ascii="Arial"/>
        <w:noProof/>
        <w:color w:val="6611CC"/>
        <w:sz w:val="21"/>
        <w:szCs w:val="21"/>
        <w:u w:color="6611CC"/>
        <w:lang w:val="en-GB"/>
      </w:rPr>
      <w:drawing>
        <wp:inline distT="0" distB="0" distL="0" distR="0">
          <wp:extent cx="1467486" cy="542291"/>
          <wp:effectExtent l="0" t="0" r="0" b="0"/>
          <wp:docPr id="1073741825" name="officeArt object" descr="University of Roehampt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University of Roehampton logo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486" cy="5422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/>
        <w:color w:val="646464"/>
        <w:sz w:val="30"/>
        <w:szCs w:val="30"/>
        <w:u w:color="646464"/>
      </w:rPr>
      <w:t xml:space="preserve">   </w:t>
    </w:r>
  </w:p>
  <w:p w:rsidR="00753B85" w:rsidRDefault="0028303F">
    <w:pPr>
      <w:pStyle w:val="Header"/>
      <w:rPr>
        <w:rFonts w:ascii="Arial" w:eastAsia="Arial" w:hAnsi="Arial" w:cs="Arial"/>
        <w:color w:val="646464"/>
        <w:sz w:val="30"/>
        <w:szCs w:val="30"/>
        <w:u w:color="646464"/>
      </w:rPr>
    </w:pPr>
    <w:r>
      <w:rPr>
        <w:rFonts w:ascii="Arial"/>
        <w:color w:val="646464"/>
        <w:sz w:val="30"/>
        <w:szCs w:val="30"/>
        <w:u w:color="646464"/>
      </w:rPr>
      <w:t xml:space="preserve">                                                                  </w:t>
    </w:r>
  </w:p>
  <w:p w:rsidR="00753B85" w:rsidRDefault="0028303F">
    <w:pPr>
      <w:pStyle w:val="Header"/>
    </w:pPr>
    <w:r>
      <w:rPr>
        <w:rFonts w:ascii="Gill Sans MT" w:eastAsia="Gill Sans MT" w:hAnsi="Gill Sans MT" w:cs="Gill Sans MT"/>
        <w:color w:val="646464"/>
        <w:sz w:val="30"/>
        <w:szCs w:val="30"/>
        <w:u w:color="646464"/>
      </w:rPr>
      <w:t>University of Roehampton, 19-20 June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85"/>
    <w:rsid w:val="0028303F"/>
    <w:rsid w:val="00753B85"/>
    <w:rsid w:val="008D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DEB04A-9428-4B77-B142-D1719777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sUSAN cARR</cp:lastModifiedBy>
  <cp:revision>2</cp:revision>
  <dcterms:created xsi:type="dcterms:W3CDTF">2015-06-02T11:32:00Z</dcterms:created>
  <dcterms:modified xsi:type="dcterms:W3CDTF">2015-06-02T11:32:00Z</dcterms:modified>
</cp:coreProperties>
</file>